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2A774">
      <w:pPr>
        <w:pStyle w:val="91"/>
        <w:tabs>
          <w:tab w:val="right" w:pos="9639"/>
        </w:tabs>
        <w:spacing w:after="0"/>
        <w:rPr>
          <w:rFonts w:hint="default" w:ascii="Arial" w:hAnsi="Arial" w:cs="Arial"/>
          <w:b/>
          <w:i/>
          <w:sz w:val="28"/>
        </w:rPr>
      </w:pPr>
      <w:r>
        <w:rPr>
          <w:rFonts w:hint="default" w:ascii="Arial" w:hAnsi="Arial" w:cs="Arial"/>
          <w:b/>
          <w:sz w:val="24"/>
        </w:rPr>
        <w:t>3GPP TSG-</w:t>
      </w:r>
      <w:r>
        <w:rPr>
          <w:rFonts w:hint="default" w:ascii="Arial" w:hAnsi="Arial" w:cs="Arial"/>
        </w:rPr>
        <w:fldChar w:fldCharType="begin"/>
      </w:r>
      <w:r>
        <w:rPr>
          <w:rFonts w:hint="default" w:ascii="Arial" w:hAnsi="Arial" w:cs="Arial"/>
        </w:rPr>
        <w:instrText xml:space="preserve"> DOCPROPERTY  TSG/WGRef  \* MERGEFORMAT </w:instrText>
      </w:r>
      <w:r>
        <w:rPr>
          <w:rFonts w:hint="default" w:ascii="Arial" w:hAnsi="Arial" w:cs="Arial"/>
        </w:rPr>
        <w:fldChar w:fldCharType="separate"/>
      </w:r>
      <w:r>
        <w:rPr>
          <w:rFonts w:hint="default" w:ascii="Arial" w:hAnsi="Arial" w:cs="Arial"/>
          <w:b/>
          <w:sz w:val="24"/>
        </w:rPr>
        <w:t>RAN3</w:t>
      </w:r>
      <w:r>
        <w:rPr>
          <w:rFonts w:hint="default" w:ascii="Arial" w:hAnsi="Arial" w:cs="Arial"/>
          <w:b/>
          <w:sz w:val="24"/>
        </w:rPr>
        <w:fldChar w:fldCharType="end"/>
      </w:r>
      <w:r>
        <w:rPr>
          <w:rFonts w:hint="default" w:ascii="Arial" w:hAnsi="Arial" w:cs="Arial"/>
          <w:b/>
          <w:sz w:val="24"/>
        </w:rPr>
        <w:t xml:space="preserve"> Meeting #</w:t>
      </w:r>
      <w:r>
        <w:rPr>
          <w:rFonts w:hint="default" w:ascii="Arial" w:hAnsi="Arial" w:cs="Arial"/>
        </w:rPr>
        <w:fldChar w:fldCharType="begin"/>
      </w:r>
      <w:r>
        <w:rPr>
          <w:rFonts w:hint="default" w:ascii="Arial" w:hAnsi="Arial" w:cs="Arial"/>
        </w:rPr>
        <w:instrText xml:space="preserve"> DOCPROPERTY  MtgSeq  \* MERGEFORMAT </w:instrText>
      </w:r>
      <w:r>
        <w:rPr>
          <w:rFonts w:hint="default" w:ascii="Arial" w:hAnsi="Arial" w:cs="Arial"/>
        </w:rPr>
        <w:fldChar w:fldCharType="separate"/>
      </w:r>
      <w:r>
        <w:rPr>
          <w:rFonts w:hint="default" w:ascii="Arial" w:hAnsi="Arial" w:cs="Arial"/>
          <w:b/>
          <w:sz w:val="24"/>
        </w:rPr>
        <w:t>128</w:t>
      </w:r>
      <w:r>
        <w:rPr>
          <w:rFonts w:hint="default" w:ascii="Arial" w:hAnsi="Arial" w:cs="Arial"/>
          <w:b/>
          <w:sz w:val="24"/>
        </w:rPr>
        <w:fldChar w:fldCharType="end"/>
      </w:r>
      <w:r>
        <w:rPr>
          <w:rFonts w:hint="default" w:ascii="Arial" w:hAnsi="Arial" w:cs="Arial"/>
        </w:rPr>
        <w:fldChar w:fldCharType="begin"/>
      </w:r>
      <w:r>
        <w:rPr>
          <w:rFonts w:hint="default" w:ascii="Arial" w:hAnsi="Arial" w:cs="Arial"/>
        </w:rPr>
        <w:instrText xml:space="preserve"> DOCPROPERTY  MtgTitle  \* MERGEFORMAT </w:instrText>
      </w:r>
      <w:r>
        <w:rPr>
          <w:rFonts w:hint="default" w:ascii="Arial" w:hAnsi="Arial" w:cs="Arial"/>
        </w:rPr>
        <w:fldChar w:fldCharType="separate"/>
      </w:r>
      <w:r>
        <w:rPr>
          <w:rFonts w:hint="default" w:ascii="Arial" w:hAnsi="Arial" w:cs="Arial"/>
        </w:rPr>
        <w:fldChar w:fldCharType="end"/>
      </w:r>
      <w:r>
        <w:rPr>
          <w:rFonts w:hint="default" w:ascii="Arial" w:hAnsi="Arial" w:cs="Arial"/>
          <w:b/>
          <w:i/>
          <w:sz w:val="28"/>
        </w:rPr>
        <w:tab/>
      </w:r>
      <w:r>
        <w:rPr>
          <w:rFonts w:hint="default" w:ascii="Arial" w:hAnsi="Arial" w:cs="Arial"/>
          <w:b/>
          <w:i/>
          <w:sz w:val="28"/>
        </w:rPr>
        <w:t>R3-253375</w:t>
      </w:r>
    </w:p>
    <w:p w14:paraId="13CE67D9">
      <w:pPr>
        <w:pStyle w:val="91"/>
        <w:outlineLvl w:val="0"/>
        <w:rPr>
          <w:rFonts w:hint="default" w:ascii="Arial" w:hAnsi="Arial" w:cs="Arial"/>
          <w:b/>
          <w:sz w:val="24"/>
        </w:rPr>
      </w:pPr>
      <w:r>
        <w:rPr>
          <w:rFonts w:hint="default" w:ascii="Arial" w:hAnsi="Arial" w:cs="Arial"/>
        </w:rPr>
        <w:fldChar w:fldCharType="begin"/>
      </w:r>
      <w:r>
        <w:rPr>
          <w:rFonts w:hint="default" w:ascii="Arial" w:hAnsi="Arial" w:cs="Arial"/>
        </w:rPr>
        <w:instrText xml:space="preserve"> DOCPROPERTY  Location  \* MERGEFORMAT </w:instrText>
      </w:r>
      <w:r>
        <w:rPr>
          <w:rFonts w:hint="default" w:ascii="Arial" w:hAnsi="Arial" w:cs="Arial"/>
        </w:rPr>
        <w:fldChar w:fldCharType="separate"/>
      </w:r>
      <w:r>
        <w:rPr>
          <w:rFonts w:hint="default" w:ascii="Arial" w:hAnsi="Arial" w:cs="Arial"/>
          <w:b/>
          <w:sz w:val="24"/>
        </w:rPr>
        <w:t>Malta</w:t>
      </w:r>
      <w:r>
        <w:rPr>
          <w:rFonts w:hint="default" w:ascii="Arial" w:hAnsi="Arial" w:cs="Arial"/>
          <w:b/>
          <w:sz w:val="24"/>
        </w:rPr>
        <w:fldChar w:fldCharType="end"/>
      </w:r>
      <w:r>
        <w:rPr>
          <w:rFonts w:hint="default" w:ascii="Arial" w:hAnsi="Arial" w:cs="Arial"/>
          <w:b/>
          <w:sz w:val="24"/>
        </w:rPr>
        <w:t xml:space="preserve">, </w:t>
      </w:r>
      <w:r>
        <w:rPr>
          <w:rFonts w:hint="default" w:ascii="Arial" w:hAnsi="Arial" w:cs="Arial"/>
        </w:rPr>
        <w:fldChar w:fldCharType="begin"/>
      </w:r>
      <w:r>
        <w:rPr>
          <w:rFonts w:hint="default" w:ascii="Arial" w:hAnsi="Arial" w:cs="Arial"/>
        </w:rPr>
        <w:instrText xml:space="preserve"> DOCPROPERTY  Country  \* MERGEFORMAT </w:instrText>
      </w:r>
      <w:r>
        <w:rPr>
          <w:rFonts w:hint="default" w:ascii="Arial" w:hAnsi="Arial" w:cs="Arial"/>
        </w:rPr>
        <w:fldChar w:fldCharType="separate"/>
      </w:r>
      <w:r>
        <w:rPr>
          <w:rFonts w:hint="default" w:ascii="Arial" w:hAnsi="Arial" w:cs="Arial"/>
          <w:b/>
          <w:sz w:val="24"/>
        </w:rPr>
        <w:t>Malta</w:t>
      </w:r>
      <w:r>
        <w:rPr>
          <w:rFonts w:hint="default" w:ascii="Arial" w:hAnsi="Arial" w:cs="Arial"/>
          <w:b/>
          <w:sz w:val="24"/>
        </w:rPr>
        <w:fldChar w:fldCharType="end"/>
      </w:r>
      <w:r>
        <w:rPr>
          <w:rFonts w:hint="default" w:ascii="Arial" w:hAnsi="Arial" w:cs="Arial"/>
          <w:b/>
          <w:sz w:val="24"/>
        </w:rPr>
        <w:t xml:space="preserve">, </w:t>
      </w:r>
      <w:r>
        <w:rPr>
          <w:rFonts w:hint="default" w:ascii="Arial" w:hAnsi="Arial" w:cs="Arial"/>
        </w:rPr>
        <w:fldChar w:fldCharType="begin"/>
      </w:r>
      <w:r>
        <w:rPr>
          <w:rFonts w:hint="default" w:ascii="Arial" w:hAnsi="Arial" w:cs="Arial"/>
        </w:rPr>
        <w:instrText xml:space="preserve"> DOCPROPERTY  StartDate  \* MERGEFORMAT </w:instrText>
      </w:r>
      <w:r>
        <w:rPr>
          <w:rFonts w:hint="default" w:ascii="Arial" w:hAnsi="Arial" w:cs="Arial"/>
        </w:rPr>
        <w:fldChar w:fldCharType="separate"/>
      </w:r>
      <w:r>
        <w:rPr>
          <w:rFonts w:hint="default" w:ascii="Arial" w:hAnsi="Arial" w:cs="Arial"/>
          <w:b/>
          <w:sz w:val="24"/>
        </w:rPr>
        <w:t>19th May 2025</w:t>
      </w:r>
      <w:r>
        <w:rPr>
          <w:rFonts w:hint="default" w:ascii="Arial" w:hAnsi="Arial" w:cs="Arial"/>
          <w:b/>
          <w:sz w:val="24"/>
        </w:rPr>
        <w:fldChar w:fldCharType="end"/>
      </w:r>
      <w:r>
        <w:rPr>
          <w:rFonts w:hint="default" w:ascii="Arial" w:hAnsi="Arial" w:cs="Arial"/>
          <w:b/>
          <w:sz w:val="24"/>
        </w:rPr>
        <w:t xml:space="preserve"> - </w:t>
      </w:r>
      <w:r>
        <w:rPr>
          <w:rFonts w:hint="default" w:ascii="Arial" w:hAnsi="Arial" w:cs="Arial"/>
        </w:rPr>
        <w:fldChar w:fldCharType="begin"/>
      </w:r>
      <w:r>
        <w:rPr>
          <w:rFonts w:hint="default" w:ascii="Arial" w:hAnsi="Arial" w:cs="Arial"/>
        </w:rPr>
        <w:instrText xml:space="preserve"> DOCPROPERTY  EndDate  \* MERGEFORMAT </w:instrText>
      </w:r>
      <w:r>
        <w:rPr>
          <w:rFonts w:hint="default" w:ascii="Arial" w:hAnsi="Arial" w:cs="Arial"/>
        </w:rPr>
        <w:fldChar w:fldCharType="separate"/>
      </w:r>
      <w:r>
        <w:rPr>
          <w:rFonts w:hint="default" w:ascii="Arial" w:hAnsi="Arial" w:cs="Arial"/>
          <w:b/>
          <w:sz w:val="24"/>
        </w:rPr>
        <w:t>23rd May 2025</w:t>
      </w:r>
      <w:r>
        <w:rPr>
          <w:rFonts w:hint="default" w:ascii="Arial" w:hAnsi="Arial" w:cs="Arial"/>
          <w:b/>
          <w:sz w:val="24"/>
        </w:rPr>
        <w:fldChar w:fldCharType="end"/>
      </w:r>
    </w:p>
    <w:p w14:paraId="1101AD70">
      <w:pPr>
        <w:pStyle w:val="36"/>
        <w:rPr>
          <w:rFonts w:eastAsia="Yu Mincho"/>
          <w:bCs/>
          <w:sz w:val="24"/>
        </w:rPr>
      </w:pPr>
      <w:r>
        <w:rPr>
          <w:rFonts w:eastAsia="Yu Mincho"/>
          <w:bCs/>
          <w:sz w:val="24"/>
        </w:rPr>
        <w:tab/>
      </w:r>
    </w:p>
    <w:p w14:paraId="08675F5B">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16.2</w:t>
      </w:r>
    </w:p>
    <w:p w14:paraId="00C1EC5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2A94ADFB">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b/>
          <w:bCs/>
          <w:sz w:val="24"/>
        </w:rPr>
        <w:t>(</w:t>
      </w:r>
      <w:r>
        <w:rPr>
          <w:rFonts w:hint="eastAsia" w:ascii="Arial" w:hAnsi="Arial" w:cs="Arial"/>
          <w:b/>
          <w:bCs/>
          <w:sz w:val="24"/>
          <w:lang w:val="en-US" w:eastAsia="zh-CN"/>
        </w:rPr>
        <w:t>Draft reply LS</w:t>
      </w:r>
      <w:r>
        <w:rPr>
          <w:rFonts w:ascii="Arial" w:hAnsi="Arial" w:cs="Arial"/>
          <w:b/>
          <w:bCs/>
          <w:sz w:val="24"/>
        </w:rPr>
        <w:t>)</w:t>
      </w:r>
      <w:r>
        <w:rPr>
          <w:rFonts w:hint="eastAsia" w:ascii="Arial" w:hAnsi="Arial" w:cs="Arial"/>
          <w:b/>
          <w:bCs/>
          <w:sz w:val="24"/>
          <w:lang w:val="en-US" w:eastAsia="zh-CN"/>
        </w:rPr>
        <w:t xml:space="preserve"> Discussion on the liaisons from RAN2/SA2</w:t>
      </w:r>
    </w:p>
    <w:p w14:paraId="24E351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3FA731AC">
      <w:pPr>
        <w:pStyle w:val="2"/>
      </w:pPr>
      <w:r>
        <w:t>1</w:t>
      </w:r>
      <w:r>
        <w:tab/>
      </w:r>
      <w:r>
        <w:t>Introduction</w:t>
      </w:r>
    </w:p>
    <w:p w14:paraId="35149793">
      <w:pPr>
        <w:overflowPunct w:val="0"/>
        <w:autoSpaceDE w:val="0"/>
        <w:autoSpaceDN w:val="0"/>
        <w:adjustRightInd w:val="0"/>
        <w:spacing w:after="120" w:line="288" w:lineRule="auto"/>
        <w:jc w:val="both"/>
        <w:textAlignment w:val="baseline"/>
        <w:rPr>
          <w:rFonts w:hint="eastAsia"/>
          <w:lang w:val="en-US" w:eastAsia="zh-CN"/>
        </w:rPr>
      </w:pPr>
      <w:r>
        <w:t xml:space="preserve">In this </w:t>
      </w:r>
      <w:r>
        <w:rPr>
          <w:rFonts w:hint="eastAsia"/>
          <w:lang w:val="en-US" w:eastAsia="zh-CN"/>
        </w:rPr>
        <w:t>contribution, we</w:t>
      </w:r>
      <w:r>
        <w:rPr>
          <w:rFonts w:hint="default"/>
          <w:lang w:val="en-US" w:eastAsia="zh-CN"/>
        </w:rPr>
        <w:t>’</w:t>
      </w:r>
      <w:r>
        <w:rPr>
          <w:rFonts w:hint="eastAsia"/>
          <w:lang w:val="en-US" w:eastAsia="zh-CN"/>
        </w:rPr>
        <w:t>d like to discuss the following liaisons and provide the draft reply LS in the Annexes</w:t>
      </w:r>
    </w:p>
    <w:p w14:paraId="46B743B8">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RAN2 LS about inventory response size</w:t>
      </w:r>
    </w:p>
    <w:p w14:paraId="7C588F65">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SA2 LS about A-IoT area</w:t>
      </w:r>
    </w:p>
    <w:p w14:paraId="652562BD">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SA2 LS about removal of service type</w:t>
      </w:r>
    </w:p>
    <w:p w14:paraId="0C159A4A">
      <w:pPr>
        <w:pStyle w:val="2"/>
        <w:rPr>
          <w:rFonts w:hint="default"/>
          <w:lang w:val="en-US" w:eastAsia="zh-CN"/>
        </w:rPr>
      </w:pPr>
      <w:r>
        <w:rPr>
          <w:rFonts w:hint="eastAsia"/>
          <w:lang w:val="en-US" w:eastAsia="zh-CN"/>
        </w:rPr>
        <w:t>2</w:t>
      </w:r>
      <w:r>
        <w:tab/>
      </w:r>
      <w:r>
        <w:rPr>
          <w:rFonts w:hint="eastAsia"/>
          <w:lang w:val="en-US" w:eastAsia="zh-CN"/>
        </w:rPr>
        <w:t>RAN2 LS about inventory response size(R3-253031)</w:t>
      </w:r>
    </w:p>
    <w:p w14:paraId="6D16B544">
      <w:pPr>
        <w:overflowPunct w:val="0"/>
        <w:autoSpaceDE w:val="0"/>
        <w:autoSpaceDN w:val="0"/>
        <w:adjustRightInd w:val="0"/>
        <w:spacing w:after="120" w:line="288" w:lineRule="auto"/>
        <w:jc w:val="both"/>
        <w:textAlignment w:val="baseline"/>
        <w:rPr>
          <w:rFonts w:hint="default" w:eastAsia="宋体"/>
          <w:lang w:val="en-US" w:eastAsia="zh-CN"/>
        </w:rPr>
      </w:pPr>
      <w:r>
        <w:rPr>
          <w:rFonts w:hint="eastAsia"/>
          <w:lang w:val="en-US" w:eastAsia="zh-CN"/>
        </w:rPr>
        <w:t xml:space="preserve">The following is the LS from RAN2 on </w:t>
      </w:r>
      <w:r>
        <w:rPr>
          <w:rFonts w:hint="default"/>
          <w:lang w:val="en-US" w:eastAsia="zh-CN"/>
        </w:rPr>
        <w:t>on D2R message size for inventory response</w:t>
      </w:r>
      <w:r>
        <w:rPr>
          <w:rFonts w:hint="eastAsia"/>
          <w:lang w:val="en-US" w:eastAsia="zh-CN"/>
        </w:rPr>
        <w:t>[1], RAN2 agreed not to support segmentation for inventory response and ask SA2 and RAN3 to consider support that inventory response size can always be provided by the core network to the reader.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763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618CFE9">
            <w:pPr>
              <w:tabs>
                <w:tab w:val="left" w:pos="1622"/>
              </w:tabs>
              <w:overflowPunct/>
              <w:autoSpaceDE/>
              <w:autoSpaceDN/>
              <w:adjustRightInd/>
              <w:spacing w:after="0"/>
              <w:textAlignment w:val="auto"/>
              <w:rPr>
                <w:rFonts w:ascii="Arial" w:hAnsi="Arial" w:eastAsia="MS Mincho" w:cs="Arial"/>
                <w:szCs w:val="24"/>
              </w:rPr>
            </w:pPr>
            <w:r>
              <w:rPr>
                <w:rFonts w:ascii="Arial" w:hAnsi="Arial" w:eastAsia="MS Mincho" w:cs="Arial"/>
                <w:szCs w:val="24"/>
              </w:rPr>
              <w:t>RAN2 discussed segmentation of D2R messages and made the following assumption on inventory response message size.</w:t>
            </w:r>
          </w:p>
          <w:p w14:paraId="59A076A2">
            <w:pPr>
              <w:tabs>
                <w:tab w:val="left" w:pos="1622"/>
              </w:tabs>
              <w:overflowPunct/>
              <w:autoSpaceDE/>
              <w:autoSpaceDN/>
              <w:adjustRightInd/>
              <w:spacing w:after="0"/>
              <w:ind w:left="1622" w:hanging="363"/>
              <w:textAlignment w:val="auto"/>
              <w:rPr>
                <w:rFonts w:ascii="Arial" w:hAnsi="Arial" w:eastAsia="MS Mincho" w:cs="Arial"/>
                <w:szCs w:val="24"/>
              </w:rPr>
            </w:pPr>
          </w:p>
          <w:p w14:paraId="162ACE11">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622" w:hanging="363"/>
              <w:textAlignment w:val="auto"/>
              <w:rPr>
                <w:rFonts w:ascii="Arial" w:hAnsi="Arial" w:eastAsia="MS Mincho" w:cs="Arial"/>
                <w:b/>
                <w:bCs/>
                <w:szCs w:val="24"/>
              </w:rPr>
            </w:pPr>
            <w:r>
              <w:rPr>
                <w:rFonts w:ascii="Arial" w:hAnsi="Arial" w:eastAsia="MS Mincho" w:cs="Arial"/>
                <w:b/>
                <w:bCs/>
                <w:szCs w:val="24"/>
              </w:rPr>
              <w:t>Agreements on segmentation</w:t>
            </w:r>
          </w:p>
          <w:p w14:paraId="03344FE7">
            <w:pPr>
              <w:numPr>
                <w:ilvl w:val="0"/>
                <w:numId w:val="4"/>
              </w:num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textAlignment w:val="auto"/>
              <w:rPr>
                <w:rFonts w:ascii="Arial" w:hAnsi="Arial" w:eastAsia="MS Mincho" w:cs="Arial"/>
                <w:szCs w:val="24"/>
              </w:rPr>
            </w:pPr>
            <w:r>
              <w:rPr>
                <w:rFonts w:ascii="Arial" w:hAnsi="Arial" w:eastAsia="MS Mincho" w:cs="Arial"/>
                <w:szCs w:val="24"/>
              </w:rPr>
              <w:t xml:space="preserve">For inventory response, RAN2 assumes that segmentation is not applied. RAN2 assumes that the reader can avoid segmentation by reader being aware of inventory response size.  </w:t>
            </w:r>
          </w:p>
          <w:p w14:paraId="496E2F96">
            <w:pPr>
              <w:tabs>
                <w:tab w:val="left" w:pos="1622"/>
              </w:tabs>
              <w:overflowPunct/>
              <w:autoSpaceDE/>
              <w:autoSpaceDN/>
              <w:adjustRightInd/>
              <w:spacing w:after="0"/>
              <w:textAlignment w:val="auto"/>
              <w:rPr>
                <w:rFonts w:ascii="Arial" w:hAnsi="Arial" w:eastAsia="MS Mincho" w:cs="Arial"/>
                <w:szCs w:val="24"/>
              </w:rPr>
            </w:pPr>
          </w:p>
          <w:p w14:paraId="5C25FAD0">
            <w:pPr>
              <w:tabs>
                <w:tab w:val="left" w:pos="1622"/>
              </w:tabs>
              <w:overflowPunct/>
              <w:autoSpaceDE/>
              <w:autoSpaceDN/>
              <w:adjustRightInd/>
              <w:spacing w:after="0"/>
              <w:textAlignment w:val="auto"/>
              <w:rPr>
                <w:rFonts w:hint="eastAsia"/>
                <w:vertAlign w:val="baseline"/>
              </w:rPr>
            </w:pPr>
            <w:r>
              <w:rPr>
                <w:rFonts w:ascii="Arial" w:hAnsi="Arial" w:eastAsia="MS Mincho" w:cs="Arial"/>
                <w:szCs w:val="24"/>
              </w:rPr>
              <w:t>RAN2 would like to inform SA2 and RAN3 that RAN2 assumes that the inventory response size can always be provided by the core network to the reader.</w:t>
            </w:r>
          </w:p>
        </w:tc>
      </w:tr>
    </w:tbl>
    <w:p w14:paraId="7623B694">
      <w:pPr>
        <w:overflowPunct w:val="0"/>
        <w:autoSpaceDE w:val="0"/>
        <w:autoSpaceDN w:val="0"/>
        <w:adjustRightInd w:val="0"/>
        <w:spacing w:after="120" w:line="288" w:lineRule="auto"/>
        <w:jc w:val="both"/>
        <w:textAlignment w:val="baseline"/>
        <w:rPr>
          <w:rFonts w:hint="default"/>
          <w:lang w:val="en-US" w:eastAsia="zh-CN"/>
        </w:rPr>
      </w:pPr>
    </w:p>
    <w:p w14:paraId="334A549A">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The purpose of the RAN2 requirement is to enable the gNB to allocate the appropriate resources for inventory response message to accommodate the device's response, by being aware of the device ID length. This ensures that segmentation of the device can be prevented. Currently, the inventory request provides two types of device identification: either a single device ID or filter information. As discussed in our paper [2], it is proposed to use a choice IE structure to signal these two types of device identification.</w:t>
      </w:r>
    </w:p>
    <w:tbl>
      <w:tblPr>
        <w:tblStyle w:val="45"/>
        <w:tblW w:w="5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2"/>
        <w:gridCol w:w="1516"/>
      </w:tblGrid>
      <w:tr w14:paraId="1C7B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3792" w:type="dxa"/>
          </w:tcPr>
          <w:p w14:paraId="6B3D7CE5">
            <w:pPr>
              <w:pStyle w:val="64"/>
              <w:rPr>
                <w:rFonts w:cs="Arial"/>
                <w:lang w:eastAsia="ja-JP"/>
              </w:rPr>
            </w:pPr>
            <w:r>
              <w:rPr>
                <w:rFonts w:cs="Arial"/>
                <w:lang w:eastAsia="ja-JP"/>
              </w:rPr>
              <w:t>IE/Group Name</w:t>
            </w:r>
          </w:p>
        </w:tc>
        <w:tc>
          <w:tcPr>
            <w:tcW w:w="1516" w:type="dxa"/>
          </w:tcPr>
          <w:p w14:paraId="30ED58F9">
            <w:pPr>
              <w:pStyle w:val="64"/>
              <w:rPr>
                <w:rFonts w:cs="Arial"/>
                <w:lang w:eastAsia="ja-JP"/>
              </w:rPr>
            </w:pPr>
            <w:r>
              <w:rPr>
                <w:rFonts w:cs="Arial"/>
                <w:lang w:eastAsia="ja-JP"/>
              </w:rPr>
              <w:t>Presence</w:t>
            </w:r>
          </w:p>
        </w:tc>
      </w:tr>
      <w:tr w14:paraId="69C6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792" w:type="dxa"/>
          </w:tcPr>
          <w:p w14:paraId="3B470AA0">
            <w:pPr>
              <w:pStyle w:val="41"/>
              <w:keepNext/>
              <w:keepLines/>
              <w:overflowPunct w:val="0"/>
              <w:autoSpaceDE w:val="0"/>
              <w:autoSpaceDN w:val="0"/>
              <w:adjustRightInd w:val="0"/>
              <w:spacing w:before="0" w:beforeAutospacing="0" w:after="0" w:afterAutospacing="0"/>
              <w:rPr>
                <w:rFonts w:hint="default" w:eastAsia="宋体" w:cs="Arial"/>
                <w:lang w:val="en-US" w:eastAsia="zh-CN"/>
              </w:rPr>
            </w:pPr>
            <w:r>
              <w:rPr>
                <w:rFonts w:ascii="Arial" w:hAnsi="Arial" w:eastAsia="Malgun Gothic" w:cs="Arial"/>
                <w:sz w:val="18"/>
                <w:szCs w:val="20"/>
                <w:lang w:bidi="ar"/>
              </w:rPr>
              <w:t>CHOICE</w:t>
            </w:r>
            <w:r>
              <w:rPr>
                <w:rFonts w:ascii="Arial" w:hAnsi="Arial" w:eastAsia="Malgun Gothic" w:cs="Arial"/>
                <w:i/>
                <w:iCs/>
                <w:sz w:val="18"/>
                <w:szCs w:val="20"/>
                <w:lang w:bidi="ar"/>
              </w:rPr>
              <w:t xml:space="preserve"> </w:t>
            </w:r>
            <w:r>
              <w:rPr>
                <w:rFonts w:hint="eastAsia" w:ascii="Arial" w:hAnsi="Arial" w:eastAsia="Malgun Gothic" w:cs="Arial"/>
                <w:i/>
                <w:iCs/>
                <w:sz w:val="18"/>
                <w:szCs w:val="20"/>
                <w:lang w:bidi="ar"/>
              </w:rPr>
              <w:t xml:space="preserve">A-IoT Device Identification </w:t>
            </w:r>
            <w:r>
              <w:rPr>
                <w:rFonts w:hint="eastAsia" w:ascii="Arial" w:hAnsi="Arial" w:eastAsia="宋体" w:cs="Arial"/>
                <w:i/>
                <w:iCs/>
                <w:sz w:val="18"/>
                <w:szCs w:val="20"/>
                <w:lang w:val="en-US" w:eastAsia="zh-CN" w:bidi="ar"/>
              </w:rPr>
              <w:t>Information</w:t>
            </w:r>
          </w:p>
          <w:p w14:paraId="2F6F7A9C">
            <w:pPr>
              <w:pStyle w:val="63"/>
              <w:rPr>
                <w:rFonts w:cs="Arial"/>
                <w:lang w:eastAsia="zh-CN"/>
              </w:rPr>
            </w:pPr>
          </w:p>
        </w:tc>
        <w:tc>
          <w:tcPr>
            <w:tcW w:w="1516" w:type="dxa"/>
          </w:tcPr>
          <w:p w14:paraId="62BF8E62">
            <w:pPr>
              <w:pStyle w:val="63"/>
              <w:rPr>
                <w:rFonts w:cs="Arial"/>
                <w:lang w:eastAsia="ja-JP"/>
              </w:rPr>
            </w:pPr>
          </w:p>
        </w:tc>
      </w:tr>
      <w:tr w14:paraId="0FD3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3792" w:type="dxa"/>
          </w:tcPr>
          <w:p w14:paraId="7293EDFE">
            <w:pPr>
              <w:pStyle w:val="41"/>
              <w:keepNext/>
              <w:keepLines/>
              <w:overflowPunct w:val="0"/>
              <w:autoSpaceDE w:val="0"/>
              <w:autoSpaceDN w:val="0"/>
              <w:adjustRightInd w:val="0"/>
              <w:spacing w:before="0" w:beforeAutospacing="0" w:after="0" w:afterAutospacing="0"/>
              <w:ind w:left="100" w:leftChars="50"/>
              <w:rPr>
                <w:rFonts w:cs="Arial"/>
              </w:rPr>
            </w:pPr>
            <w:r>
              <w:rPr>
                <w:rFonts w:ascii="Arial" w:hAnsi="Arial" w:eastAsia="Malgun Gothic" w:cs="Arial"/>
                <w:bCs/>
                <w:i/>
                <w:iCs/>
                <w:sz w:val="18"/>
                <w:szCs w:val="20"/>
                <w:lang w:bidi="ar"/>
              </w:rPr>
              <w:t>&gt;</w:t>
            </w:r>
            <w:r>
              <w:rPr>
                <w:rFonts w:hint="eastAsia" w:ascii="Arial" w:hAnsi="Arial" w:eastAsia="宋体" w:cs="Arial"/>
                <w:bCs/>
                <w:i/>
                <w:iCs/>
                <w:sz w:val="18"/>
                <w:szCs w:val="20"/>
                <w:lang w:val="en-US" w:eastAsia="zh-CN" w:bidi="ar"/>
              </w:rPr>
              <w:t xml:space="preserve">A-IoT </w:t>
            </w:r>
            <w:r>
              <w:rPr>
                <w:rFonts w:hint="eastAsia" w:ascii="Arial" w:hAnsi="Arial" w:eastAsia="Malgun Gothic" w:cs="Arial"/>
                <w:bCs/>
                <w:i/>
                <w:iCs/>
                <w:sz w:val="18"/>
                <w:szCs w:val="20"/>
                <w:lang w:bidi="ar"/>
              </w:rPr>
              <w:t>Device ID</w:t>
            </w:r>
          </w:p>
        </w:tc>
        <w:tc>
          <w:tcPr>
            <w:tcW w:w="1516" w:type="dxa"/>
          </w:tcPr>
          <w:p w14:paraId="301E273B">
            <w:pPr>
              <w:pStyle w:val="41"/>
              <w:keepNext/>
              <w:keepLines/>
              <w:overflowPunct w:val="0"/>
              <w:autoSpaceDE w:val="0"/>
              <w:autoSpaceDN w:val="0"/>
              <w:adjustRightInd w:val="0"/>
              <w:spacing w:before="0" w:beforeAutospacing="0" w:after="0" w:afterAutospacing="0"/>
              <w:rPr>
                <w:rFonts w:cs="Arial"/>
                <w:lang w:eastAsia="ja-JP"/>
              </w:rPr>
            </w:pPr>
          </w:p>
        </w:tc>
      </w:tr>
      <w:tr w14:paraId="2457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92" w:type="dxa"/>
          </w:tcPr>
          <w:p w14:paraId="49EAA6D0">
            <w:pPr>
              <w:pStyle w:val="41"/>
              <w:keepNext/>
              <w:keepLines/>
              <w:overflowPunct w:val="0"/>
              <w:autoSpaceDE w:val="0"/>
              <w:autoSpaceDN w:val="0"/>
              <w:adjustRightInd w:val="0"/>
              <w:spacing w:before="0" w:beforeAutospacing="0" w:after="0" w:afterAutospacing="0"/>
              <w:ind w:left="200" w:leftChars="100"/>
              <w:rPr>
                <w:rFonts w:cs="Arial"/>
              </w:rPr>
            </w:pPr>
            <w:r>
              <w:rPr>
                <w:rFonts w:ascii="Arial" w:hAnsi="Arial" w:eastAsia="Malgun Gothic" w:cs="Arial"/>
                <w:bCs/>
                <w:iCs/>
                <w:sz w:val="18"/>
                <w:szCs w:val="20"/>
                <w:lang w:bidi="ar"/>
              </w:rPr>
              <w:t>&gt;&gt;</w:t>
            </w:r>
            <w:r>
              <w:rPr>
                <w:rFonts w:hint="eastAsia" w:ascii="Arial" w:hAnsi="Arial" w:eastAsia="Malgun Gothic" w:cs="Arial"/>
                <w:bCs/>
                <w:iCs/>
                <w:sz w:val="18"/>
                <w:szCs w:val="20"/>
                <w:lang w:bidi="ar"/>
              </w:rPr>
              <w:t xml:space="preserve">Device Permanent Identifier </w:t>
            </w:r>
          </w:p>
        </w:tc>
        <w:tc>
          <w:tcPr>
            <w:tcW w:w="1516" w:type="dxa"/>
          </w:tcPr>
          <w:p w14:paraId="4A0E5ECA">
            <w:pPr>
              <w:pStyle w:val="41"/>
              <w:keepNext/>
              <w:keepLines/>
              <w:overflowPunct w:val="0"/>
              <w:autoSpaceDE w:val="0"/>
              <w:autoSpaceDN w:val="0"/>
              <w:adjustRightInd w:val="0"/>
              <w:spacing w:before="0" w:beforeAutospacing="0" w:after="0" w:afterAutospacing="0"/>
              <w:rPr>
                <w:rFonts w:cs="Arial"/>
                <w:lang w:eastAsia="ja-JP"/>
              </w:rPr>
            </w:pPr>
            <w:r>
              <w:rPr>
                <w:rFonts w:ascii="Arial" w:hAnsi="Arial" w:eastAsia="Malgun Gothic" w:cs="Arial"/>
                <w:sz w:val="18"/>
                <w:szCs w:val="20"/>
                <w:lang w:bidi="ar"/>
              </w:rPr>
              <w:t>M</w:t>
            </w:r>
          </w:p>
        </w:tc>
      </w:tr>
      <w:tr w14:paraId="1174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92" w:type="dxa"/>
          </w:tcPr>
          <w:p w14:paraId="454EF320">
            <w:pPr>
              <w:pStyle w:val="41"/>
              <w:keepNext/>
              <w:keepLines/>
              <w:overflowPunct w:val="0"/>
              <w:autoSpaceDE w:val="0"/>
              <w:autoSpaceDN w:val="0"/>
              <w:adjustRightInd w:val="0"/>
              <w:spacing w:before="0" w:beforeAutospacing="0" w:after="0" w:afterAutospacing="0"/>
              <w:ind w:left="100" w:leftChars="50"/>
              <w:rPr>
                <w:rFonts w:hint="default" w:eastAsia="宋体" w:cs="Arial"/>
                <w:lang w:val="en-US" w:eastAsia="zh-CN"/>
              </w:rPr>
            </w:pPr>
            <w:r>
              <w:rPr>
                <w:rFonts w:ascii="Arial" w:hAnsi="Arial" w:eastAsia="Malgun Gothic" w:cs="Arial"/>
                <w:bCs/>
                <w:i/>
                <w:iCs/>
                <w:sz w:val="18"/>
                <w:szCs w:val="20"/>
                <w:lang w:bidi="ar"/>
              </w:rPr>
              <w:t>&gt;</w:t>
            </w:r>
            <w:r>
              <w:rPr>
                <w:rFonts w:hint="eastAsia" w:ascii="Arial" w:hAnsi="Arial" w:eastAsia="宋体" w:cs="Arial"/>
                <w:bCs/>
                <w:i/>
                <w:iCs/>
                <w:sz w:val="18"/>
                <w:szCs w:val="20"/>
                <w:lang w:val="en-US" w:eastAsia="zh-CN" w:bidi="ar"/>
              </w:rPr>
              <w:t>Filter Information</w:t>
            </w:r>
          </w:p>
        </w:tc>
        <w:tc>
          <w:tcPr>
            <w:tcW w:w="1516" w:type="dxa"/>
          </w:tcPr>
          <w:p w14:paraId="00D1F370">
            <w:pPr>
              <w:pStyle w:val="41"/>
              <w:keepNext/>
              <w:keepLines/>
              <w:overflowPunct w:val="0"/>
              <w:autoSpaceDE w:val="0"/>
              <w:autoSpaceDN w:val="0"/>
              <w:adjustRightInd w:val="0"/>
              <w:spacing w:before="0" w:beforeAutospacing="0" w:after="0" w:afterAutospacing="0"/>
              <w:rPr>
                <w:rFonts w:cs="Arial"/>
                <w:lang w:eastAsia="ja-JP"/>
              </w:rPr>
            </w:pPr>
          </w:p>
        </w:tc>
      </w:tr>
      <w:tr w14:paraId="1E61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3792" w:type="dxa"/>
          </w:tcPr>
          <w:p w14:paraId="45988924">
            <w:pPr>
              <w:pStyle w:val="41"/>
              <w:keepNext/>
              <w:keepLines/>
              <w:overflowPunct w:val="0"/>
              <w:autoSpaceDE w:val="0"/>
              <w:autoSpaceDN w:val="0"/>
              <w:adjustRightInd w:val="0"/>
              <w:spacing w:before="0" w:beforeAutospacing="0" w:after="0" w:afterAutospacing="0"/>
              <w:ind w:left="200" w:leftChars="100"/>
              <w:rPr>
                <w:rFonts w:hint="default" w:ascii="Arial" w:hAnsi="Arial" w:eastAsia="宋体" w:cs="Arial"/>
                <w:bCs/>
                <w:i/>
                <w:iCs/>
                <w:sz w:val="18"/>
                <w:szCs w:val="20"/>
                <w:lang w:val="en-US" w:eastAsia="zh-CN" w:bidi="ar"/>
              </w:rPr>
            </w:pPr>
            <w:r>
              <w:rPr>
                <w:rFonts w:ascii="Arial" w:hAnsi="Arial" w:eastAsia="Malgun Gothic" w:cs="Arial"/>
                <w:bCs/>
                <w:iCs/>
                <w:sz w:val="18"/>
                <w:szCs w:val="20"/>
                <w:lang w:bidi="ar"/>
              </w:rPr>
              <w:t>&gt;&gt;</w:t>
            </w:r>
            <w:r>
              <w:rPr>
                <w:rFonts w:hint="eastAsia" w:ascii="Arial" w:hAnsi="Arial" w:eastAsia="宋体" w:cs="Arial"/>
                <w:bCs/>
                <w:iCs/>
                <w:sz w:val="18"/>
                <w:szCs w:val="20"/>
                <w:lang w:val="en-US" w:eastAsia="zh-CN" w:bidi="ar"/>
              </w:rPr>
              <w:t>Filter Information</w:t>
            </w:r>
          </w:p>
        </w:tc>
        <w:tc>
          <w:tcPr>
            <w:tcW w:w="1516" w:type="dxa"/>
          </w:tcPr>
          <w:p w14:paraId="07D20049">
            <w:pPr>
              <w:pStyle w:val="41"/>
              <w:keepNext/>
              <w:keepLines/>
              <w:overflowPunct w:val="0"/>
              <w:autoSpaceDE w:val="0"/>
              <w:autoSpaceDN w:val="0"/>
              <w:adjustRightInd w:val="0"/>
              <w:spacing w:before="0" w:beforeAutospacing="0" w:after="0" w:afterAutospacing="0"/>
              <w:rPr>
                <w:rFonts w:cs="Arial"/>
                <w:lang w:eastAsia="ja-JP"/>
              </w:rPr>
            </w:pPr>
            <w:r>
              <w:rPr>
                <w:rFonts w:ascii="Arial" w:hAnsi="Arial" w:eastAsia="Malgun Gothic" w:cs="Arial"/>
                <w:sz w:val="18"/>
                <w:szCs w:val="20"/>
                <w:lang w:bidi="ar"/>
              </w:rPr>
              <w:t>M</w:t>
            </w:r>
          </w:p>
        </w:tc>
      </w:tr>
    </w:tbl>
    <w:p w14:paraId="30341B9D">
      <w:pPr>
        <w:overflowPunct w:val="0"/>
        <w:autoSpaceDE w:val="0"/>
        <w:autoSpaceDN w:val="0"/>
        <w:adjustRightInd w:val="0"/>
        <w:spacing w:after="120" w:line="288" w:lineRule="auto"/>
        <w:jc w:val="both"/>
        <w:textAlignment w:val="baseline"/>
        <w:rPr>
          <w:rFonts w:hint="default"/>
          <w:lang w:val="en-US" w:eastAsia="zh-CN"/>
        </w:rPr>
      </w:pPr>
    </w:p>
    <w:p w14:paraId="1E432791">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xml:space="preserve">In the case of a single device, the gNB/reader can determine the size of the D2R message for the inventory response by knowing the size of the device ID in the inventory request. However, if filter information is provided, there are two potential methods to ascertain the device ID length. </w:t>
      </w:r>
    </w:p>
    <w:p w14:paraId="70B10994">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Option 1 involves the CN indicating the device ID length in the inventory request, as shown below; this approach awaits a response from SA2.</w:t>
      </w:r>
    </w:p>
    <w:tbl>
      <w:tblPr>
        <w:tblStyle w:val="45"/>
        <w:tblW w:w="5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2"/>
        <w:gridCol w:w="1516"/>
      </w:tblGrid>
      <w:tr w14:paraId="6AFD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3792" w:type="dxa"/>
          </w:tcPr>
          <w:p w14:paraId="7F2B0565">
            <w:pPr>
              <w:pStyle w:val="64"/>
              <w:rPr>
                <w:rFonts w:cs="Arial"/>
                <w:lang w:eastAsia="ja-JP"/>
              </w:rPr>
            </w:pPr>
            <w:r>
              <w:rPr>
                <w:rFonts w:cs="Arial"/>
                <w:lang w:eastAsia="ja-JP"/>
              </w:rPr>
              <w:t>IE/Group Name</w:t>
            </w:r>
          </w:p>
        </w:tc>
        <w:tc>
          <w:tcPr>
            <w:tcW w:w="1516" w:type="dxa"/>
          </w:tcPr>
          <w:p w14:paraId="0E1B3139">
            <w:pPr>
              <w:pStyle w:val="64"/>
              <w:rPr>
                <w:rFonts w:cs="Arial"/>
                <w:lang w:eastAsia="ja-JP"/>
              </w:rPr>
            </w:pPr>
            <w:r>
              <w:rPr>
                <w:rFonts w:cs="Arial"/>
                <w:lang w:eastAsia="ja-JP"/>
              </w:rPr>
              <w:t>Presence</w:t>
            </w:r>
          </w:p>
        </w:tc>
      </w:tr>
      <w:tr w14:paraId="7D45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792" w:type="dxa"/>
          </w:tcPr>
          <w:p w14:paraId="580E4DAF">
            <w:pPr>
              <w:pStyle w:val="41"/>
              <w:keepNext/>
              <w:keepLines/>
              <w:overflowPunct w:val="0"/>
              <w:autoSpaceDE w:val="0"/>
              <w:autoSpaceDN w:val="0"/>
              <w:adjustRightInd w:val="0"/>
              <w:spacing w:before="0" w:beforeAutospacing="0" w:after="0" w:afterAutospacing="0"/>
              <w:rPr>
                <w:rFonts w:hint="default" w:eastAsia="宋体" w:cs="Arial"/>
                <w:lang w:val="en-US" w:eastAsia="zh-CN"/>
              </w:rPr>
            </w:pPr>
            <w:r>
              <w:rPr>
                <w:rFonts w:ascii="Arial" w:hAnsi="Arial" w:eastAsia="Malgun Gothic" w:cs="Arial"/>
                <w:sz w:val="18"/>
                <w:szCs w:val="20"/>
                <w:lang w:bidi="ar"/>
              </w:rPr>
              <w:t>CHOICE</w:t>
            </w:r>
            <w:r>
              <w:rPr>
                <w:rFonts w:ascii="Arial" w:hAnsi="Arial" w:eastAsia="Malgun Gothic" w:cs="Arial"/>
                <w:i/>
                <w:iCs/>
                <w:sz w:val="18"/>
                <w:szCs w:val="20"/>
                <w:lang w:bidi="ar"/>
              </w:rPr>
              <w:t xml:space="preserve"> </w:t>
            </w:r>
            <w:r>
              <w:rPr>
                <w:rFonts w:hint="eastAsia" w:ascii="Arial" w:hAnsi="Arial" w:eastAsia="Malgun Gothic" w:cs="Arial"/>
                <w:i/>
                <w:iCs/>
                <w:sz w:val="18"/>
                <w:szCs w:val="20"/>
                <w:lang w:bidi="ar"/>
              </w:rPr>
              <w:t xml:space="preserve">A-IoT Device Identification </w:t>
            </w:r>
            <w:r>
              <w:rPr>
                <w:rFonts w:hint="eastAsia" w:ascii="Arial" w:hAnsi="Arial" w:eastAsia="宋体" w:cs="Arial"/>
                <w:i/>
                <w:iCs/>
                <w:sz w:val="18"/>
                <w:szCs w:val="20"/>
                <w:lang w:val="en-US" w:eastAsia="zh-CN" w:bidi="ar"/>
              </w:rPr>
              <w:t>Information</w:t>
            </w:r>
          </w:p>
          <w:p w14:paraId="1F1F2049">
            <w:pPr>
              <w:pStyle w:val="63"/>
              <w:rPr>
                <w:rFonts w:cs="Arial"/>
                <w:lang w:eastAsia="zh-CN"/>
              </w:rPr>
            </w:pPr>
          </w:p>
        </w:tc>
        <w:tc>
          <w:tcPr>
            <w:tcW w:w="1516" w:type="dxa"/>
          </w:tcPr>
          <w:p w14:paraId="4ABEBB42">
            <w:pPr>
              <w:pStyle w:val="63"/>
              <w:rPr>
                <w:rFonts w:cs="Arial"/>
                <w:lang w:eastAsia="ja-JP"/>
              </w:rPr>
            </w:pPr>
          </w:p>
        </w:tc>
      </w:tr>
      <w:tr w14:paraId="694C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3792" w:type="dxa"/>
          </w:tcPr>
          <w:p w14:paraId="6FB6D192">
            <w:pPr>
              <w:pStyle w:val="41"/>
              <w:keepNext/>
              <w:keepLines/>
              <w:overflowPunct w:val="0"/>
              <w:autoSpaceDE w:val="0"/>
              <w:autoSpaceDN w:val="0"/>
              <w:adjustRightInd w:val="0"/>
              <w:spacing w:before="0" w:beforeAutospacing="0" w:after="0" w:afterAutospacing="0"/>
              <w:ind w:left="100" w:leftChars="50"/>
              <w:rPr>
                <w:rFonts w:cs="Arial"/>
              </w:rPr>
            </w:pPr>
            <w:r>
              <w:rPr>
                <w:rFonts w:ascii="Arial" w:hAnsi="Arial" w:eastAsia="Malgun Gothic" w:cs="Arial"/>
                <w:bCs/>
                <w:i/>
                <w:iCs/>
                <w:sz w:val="18"/>
                <w:szCs w:val="20"/>
                <w:lang w:bidi="ar"/>
              </w:rPr>
              <w:t>&gt;</w:t>
            </w:r>
            <w:r>
              <w:rPr>
                <w:rFonts w:hint="eastAsia" w:ascii="Arial" w:hAnsi="Arial" w:eastAsia="宋体" w:cs="Arial"/>
                <w:bCs/>
                <w:i/>
                <w:iCs/>
                <w:sz w:val="18"/>
                <w:szCs w:val="20"/>
                <w:lang w:val="en-US" w:eastAsia="zh-CN" w:bidi="ar"/>
              </w:rPr>
              <w:t xml:space="preserve">A-IoT </w:t>
            </w:r>
            <w:r>
              <w:rPr>
                <w:rFonts w:hint="eastAsia" w:ascii="Arial" w:hAnsi="Arial" w:eastAsia="Malgun Gothic" w:cs="Arial"/>
                <w:bCs/>
                <w:i/>
                <w:iCs/>
                <w:sz w:val="18"/>
                <w:szCs w:val="20"/>
                <w:lang w:bidi="ar"/>
              </w:rPr>
              <w:t>Device ID</w:t>
            </w:r>
          </w:p>
        </w:tc>
        <w:tc>
          <w:tcPr>
            <w:tcW w:w="1516" w:type="dxa"/>
          </w:tcPr>
          <w:p w14:paraId="167D10A2">
            <w:pPr>
              <w:pStyle w:val="41"/>
              <w:keepNext/>
              <w:keepLines/>
              <w:overflowPunct w:val="0"/>
              <w:autoSpaceDE w:val="0"/>
              <w:autoSpaceDN w:val="0"/>
              <w:adjustRightInd w:val="0"/>
              <w:spacing w:before="0" w:beforeAutospacing="0" w:after="0" w:afterAutospacing="0"/>
              <w:rPr>
                <w:rFonts w:cs="Arial"/>
                <w:lang w:eastAsia="ja-JP"/>
              </w:rPr>
            </w:pPr>
          </w:p>
        </w:tc>
      </w:tr>
      <w:tr w14:paraId="7D0C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92" w:type="dxa"/>
          </w:tcPr>
          <w:p w14:paraId="77FAC59D">
            <w:pPr>
              <w:pStyle w:val="41"/>
              <w:keepNext/>
              <w:keepLines/>
              <w:overflowPunct w:val="0"/>
              <w:autoSpaceDE w:val="0"/>
              <w:autoSpaceDN w:val="0"/>
              <w:adjustRightInd w:val="0"/>
              <w:spacing w:before="0" w:beforeAutospacing="0" w:after="0" w:afterAutospacing="0"/>
              <w:ind w:left="200" w:leftChars="100"/>
              <w:rPr>
                <w:rFonts w:cs="Arial"/>
              </w:rPr>
            </w:pPr>
            <w:r>
              <w:rPr>
                <w:rFonts w:ascii="Arial" w:hAnsi="Arial" w:eastAsia="Malgun Gothic" w:cs="Arial"/>
                <w:bCs/>
                <w:iCs/>
                <w:sz w:val="18"/>
                <w:szCs w:val="20"/>
                <w:lang w:bidi="ar"/>
              </w:rPr>
              <w:t>&gt;&gt;</w:t>
            </w:r>
            <w:r>
              <w:rPr>
                <w:rFonts w:hint="eastAsia" w:ascii="Arial" w:hAnsi="Arial" w:eastAsia="Malgun Gothic" w:cs="Arial"/>
                <w:bCs/>
                <w:iCs/>
                <w:sz w:val="18"/>
                <w:szCs w:val="20"/>
                <w:lang w:bidi="ar"/>
              </w:rPr>
              <w:t xml:space="preserve">Device Permanent Identifier </w:t>
            </w:r>
          </w:p>
        </w:tc>
        <w:tc>
          <w:tcPr>
            <w:tcW w:w="1516" w:type="dxa"/>
          </w:tcPr>
          <w:p w14:paraId="054298F5">
            <w:pPr>
              <w:pStyle w:val="41"/>
              <w:keepNext/>
              <w:keepLines/>
              <w:overflowPunct w:val="0"/>
              <w:autoSpaceDE w:val="0"/>
              <w:autoSpaceDN w:val="0"/>
              <w:adjustRightInd w:val="0"/>
              <w:spacing w:before="0" w:beforeAutospacing="0" w:after="0" w:afterAutospacing="0"/>
              <w:rPr>
                <w:rFonts w:cs="Arial"/>
                <w:lang w:eastAsia="ja-JP"/>
              </w:rPr>
            </w:pPr>
            <w:r>
              <w:rPr>
                <w:rFonts w:ascii="Arial" w:hAnsi="Arial" w:eastAsia="Malgun Gothic" w:cs="Arial"/>
                <w:sz w:val="18"/>
                <w:szCs w:val="20"/>
                <w:lang w:bidi="ar"/>
              </w:rPr>
              <w:t>M</w:t>
            </w:r>
          </w:p>
        </w:tc>
      </w:tr>
      <w:tr w14:paraId="6BD9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92" w:type="dxa"/>
          </w:tcPr>
          <w:p w14:paraId="6C08B21C">
            <w:pPr>
              <w:pStyle w:val="41"/>
              <w:keepNext/>
              <w:keepLines/>
              <w:overflowPunct w:val="0"/>
              <w:autoSpaceDE w:val="0"/>
              <w:autoSpaceDN w:val="0"/>
              <w:adjustRightInd w:val="0"/>
              <w:spacing w:before="0" w:beforeAutospacing="0" w:after="0" w:afterAutospacing="0"/>
              <w:ind w:left="100" w:leftChars="50"/>
              <w:rPr>
                <w:rFonts w:hint="default" w:eastAsia="宋体" w:cs="Arial"/>
                <w:lang w:val="en-US" w:eastAsia="zh-CN"/>
              </w:rPr>
            </w:pPr>
            <w:r>
              <w:rPr>
                <w:rFonts w:ascii="Arial" w:hAnsi="Arial" w:eastAsia="Malgun Gothic" w:cs="Arial"/>
                <w:bCs/>
                <w:i/>
                <w:iCs/>
                <w:sz w:val="18"/>
                <w:szCs w:val="20"/>
                <w:lang w:bidi="ar"/>
              </w:rPr>
              <w:t>&gt;</w:t>
            </w:r>
            <w:r>
              <w:rPr>
                <w:rFonts w:hint="eastAsia" w:ascii="Arial" w:hAnsi="Arial" w:eastAsia="宋体" w:cs="Arial"/>
                <w:bCs/>
                <w:i/>
                <w:iCs/>
                <w:sz w:val="18"/>
                <w:szCs w:val="20"/>
                <w:lang w:val="en-US" w:eastAsia="zh-CN" w:bidi="ar"/>
              </w:rPr>
              <w:t>Filter Information</w:t>
            </w:r>
          </w:p>
        </w:tc>
        <w:tc>
          <w:tcPr>
            <w:tcW w:w="1516" w:type="dxa"/>
          </w:tcPr>
          <w:p w14:paraId="6195C67D">
            <w:pPr>
              <w:pStyle w:val="41"/>
              <w:keepNext/>
              <w:keepLines/>
              <w:overflowPunct w:val="0"/>
              <w:autoSpaceDE w:val="0"/>
              <w:autoSpaceDN w:val="0"/>
              <w:adjustRightInd w:val="0"/>
              <w:spacing w:before="0" w:beforeAutospacing="0" w:after="0" w:afterAutospacing="0"/>
              <w:rPr>
                <w:rFonts w:cs="Arial"/>
                <w:lang w:eastAsia="ja-JP"/>
              </w:rPr>
            </w:pPr>
          </w:p>
        </w:tc>
      </w:tr>
      <w:tr w14:paraId="6A0F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3792" w:type="dxa"/>
          </w:tcPr>
          <w:p w14:paraId="6AE83DD1">
            <w:pPr>
              <w:pStyle w:val="41"/>
              <w:keepNext/>
              <w:keepLines/>
              <w:overflowPunct w:val="0"/>
              <w:autoSpaceDE w:val="0"/>
              <w:autoSpaceDN w:val="0"/>
              <w:adjustRightInd w:val="0"/>
              <w:spacing w:before="0" w:beforeAutospacing="0" w:after="0" w:afterAutospacing="0"/>
              <w:ind w:left="200" w:leftChars="100"/>
              <w:rPr>
                <w:rFonts w:hint="default" w:ascii="Arial" w:hAnsi="Arial" w:eastAsia="宋体" w:cs="Arial"/>
                <w:bCs/>
                <w:i/>
                <w:iCs/>
                <w:sz w:val="18"/>
                <w:szCs w:val="20"/>
                <w:lang w:val="en-US" w:eastAsia="zh-CN" w:bidi="ar"/>
              </w:rPr>
            </w:pPr>
            <w:r>
              <w:rPr>
                <w:rFonts w:ascii="Arial" w:hAnsi="Arial" w:eastAsia="Malgun Gothic" w:cs="Arial"/>
                <w:bCs/>
                <w:iCs/>
                <w:sz w:val="18"/>
                <w:szCs w:val="20"/>
                <w:lang w:bidi="ar"/>
              </w:rPr>
              <w:t>&gt;&gt;</w:t>
            </w:r>
            <w:r>
              <w:rPr>
                <w:rFonts w:hint="eastAsia" w:ascii="Arial" w:hAnsi="Arial" w:eastAsia="宋体" w:cs="Arial"/>
                <w:bCs/>
                <w:iCs/>
                <w:sz w:val="18"/>
                <w:szCs w:val="20"/>
                <w:lang w:val="en-US" w:eastAsia="zh-CN" w:bidi="ar"/>
              </w:rPr>
              <w:t>Filter Information</w:t>
            </w:r>
          </w:p>
        </w:tc>
        <w:tc>
          <w:tcPr>
            <w:tcW w:w="1516" w:type="dxa"/>
          </w:tcPr>
          <w:p w14:paraId="369D4D3A">
            <w:pPr>
              <w:pStyle w:val="41"/>
              <w:keepNext/>
              <w:keepLines/>
              <w:overflowPunct w:val="0"/>
              <w:autoSpaceDE w:val="0"/>
              <w:autoSpaceDN w:val="0"/>
              <w:adjustRightInd w:val="0"/>
              <w:spacing w:before="0" w:beforeAutospacing="0" w:after="0" w:afterAutospacing="0"/>
              <w:rPr>
                <w:rFonts w:cs="Arial"/>
                <w:lang w:eastAsia="ja-JP"/>
              </w:rPr>
            </w:pPr>
            <w:r>
              <w:rPr>
                <w:rFonts w:ascii="Arial" w:hAnsi="Arial" w:eastAsia="Malgun Gothic" w:cs="Arial"/>
                <w:sz w:val="18"/>
                <w:szCs w:val="20"/>
                <w:lang w:bidi="ar"/>
              </w:rPr>
              <w:t>M</w:t>
            </w:r>
          </w:p>
        </w:tc>
      </w:tr>
      <w:tr w14:paraId="312F9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3792" w:type="dxa"/>
          </w:tcPr>
          <w:p w14:paraId="6751694C">
            <w:pPr>
              <w:pStyle w:val="41"/>
              <w:keepNext/>
              <w:keepLines/>
              <w:overflowPunct w:val="0"/>
              <w:autoSpaceDE w:val="0"/>
              <w:autoSpaceDN w:val="0"/>
              <w:adjustRightInd w:val="0"/>
              <w:spacing w:before="0" w:beforeAutospacing="0" w:after="0" w:afterAutospacing="0"/>
              <w:ind w:left="200" w:leftChars="100"/>
              <w:rPr>
                <w:rFonts w:hint="default" w:ascii="Arial" w:hAnsi="Arial" w:eastAsia="宋体" w:cs="Arial"/>
                <w:bCs/>
                <w:iCs/>
                <w:sz w:val="18"/>
                <w:szCs w:val="20"/>
                <w:highlight w:val="yellow"/>
                <w:lang w:val="en-US" w:eastAsia="zh-CN" w:bidi="ar"/>
              </w:rPr>
            </w:pPr>
            <w:r>
              <w:rPr>
                <w:rFonts w:hint="eastAsia" w:ascii="Arial" w:hAnsi="Arial" w:eastAsia="宋体" w:cs="Arial"/>
                <w:bCs/>
                <w:iCs/>
                <w:sz w:val="18"/>
                <w:szCs w:val="20"/>
                <w:highlight w:val="yellow"/>
                <w:lang w:val="en-US" w:eastAsia="zh-CN" w:bidi="ar"/>
              </w:rPr>
              <w:t>&gt;&gt;Inventory Response Message Size</w:t>
            </w:r>
          </w:p>
        </w:tc>
        <w:tc>
          <w:tcPr>
            <w:tcW w:w="1516" w:type="dxa"/>
          </w:tcPr>
          <w:p w14:paraId="36676E5B">
            <w:pPr>
              <w:pStyle w:val="41"/>
              <w:keepNext/>
              <w:keepLines/>
              <w:overflowPunct w:val="0"/>
              <w:autoSpaceDE w:val="0"/>
              <w:autoSpaceDN w:val="0"/>
              <w:adjustRightInd w:val="0"/>
              <w:spacing w:before="0" w:beforeAutospacing="0" w:after="0" w:afterAutospacing="0"/>
              <w:rPr>
                <w:rFonts w:hint="default" w:ascii="Arial" w:hAnsi="Arial" w:eastAsia="宋体" w:cs="Arial"/>
                <w:sz w:val="18"/>
                <w:szCs w:val="20"/>
                <w:highlight w:val="yellow"/>
                <w:lang w:val="en-US" w:eastAsia="zh-CN" w:bidi="ar"/>
              </w:rPr>
            </w:pPr>
            <w:r>
              <w:rPr>
                <w:rFonts w:hint="eastAsia" w:ascii="Arial" w:hAnsi="Arial" w:eastAsia="宋体" w:cs="Arial"/>
                <w:sz w:val="18"/>
                <w:szCs w:val="20"/>
                <w:highlight w:val="yellow"/>
                <w:lang w:val="en-US" w:eastAsia="zh-CN" w:bidi="ar"/>
              </w:rPr>
              <w:t>M</w:t>
            </w:r>
          </w:p>
        </w:tc>
      </w:tr>
    </w:tbl>
    <w:p w14:paraId="54E65EA2">
      <w:pPr>
        <w:overflowPunct w:val="0"/>
        <w:autoSpaceDE w:val="0"/>
        <w:autoSpaceDN w:val="0"/>
        <w:adjustRightInd w:val="0"/>
        <w:spacing w:after="120" w:line="288" w:lineRule="auto"/>
        <w:jc w:val="both"/>
        <w:textAlignment w:val="baseline"/>
        <w:rPr>
          <w:rFonts w:hint="default"/>
          <w:lang w:val="en-US" w:eastAsia="zh-CN"/>
        </w:rPr>
      </w:pPr>
    </w:p>
    <w:p w14:paraId="596D9F91">
      <w:pPr>
        <w:overflowPunct w:val="0"/>
        <w:autoSpaceDE w:val="0"/>
        <w:autoSpaceDN w:val="0"/>
        <w:adjustRightInd w:val="0"/>
        <w:spacing w:after="120" w:line="288" w:lineRule="auto"/>
        <w:jc w:val="both"/>
        <w:textAlignment w:val="baseline"/>
        <w:rPr>
          <w:rFonts w:hint="eastAsia" w:eastAsia="等线"/>
          <w:lang w:val="en-US" w:eastAsia="zh-CN"/>
        </w:rPr>
      </w:pPr>
      <w:r>
        <w:rPr>
          <w:rFonts w:hint="eastAsia"/>
          <w:lang w:val="en-US" w:eastAsia="zh-CN"/>
        </w:rPr>
        <w:t xml:space="preserve">- Option 2: The gNB/Reader should read the filter information, which may include the device ID </w:t>
      </w:r>
      <w:r>
        <w:rPr>
          <w:rFonts w:eastAsia="等线"/>
          <w:lang w:eastAsia="zh-CN"/>
        </w:rPr>
        <w:t>component</w:t>
      </w:r>
      <w:r>
        <w:rPr>
          <w:rFonts w:hint="eastAsia" w:eastAsia="等线"/>
          <w:lang w:val="en-US" w:eastAsia="zh-CN"/>
        </w:rPr>
        <w:t xml:space="preserve"> information</w:t>
      </w:r>
      <w:r>
        <w:rPr>
          <w:rFonts w:hint="eastAsia" w:ascii="Times New Roman" w:hAnsi="Times New Roman" w:eastAsia="等线" w:cs="Times New Roman"/>
          <w:lang w:val="en-GB" w:eastAsia="zh-CN" w:bidi="ar-SA"/>
        </w:rPr>
        <w:t>.</w:t>
      </w:r>
      <w:r>
        <w:rPr>
          <w:rFonts w:eastAsia="等线"/>
          <w:lang w:eastAsia="zh-CN"/>
        </w:rPr>
        <w:t xml:space="preserve"> </w:t>
      </w:r>
      <w:r>
        <w:rPr>
          <w:rFonts w:hint="eastAsia" w:eastAsia="等线"/>
          <w:lang w:val="en-US" w:eastAsia="zh-CN"/>
        </w:rPr>
        <w:t xml:space="preserve">Based on the pre-configuration by OAM, it can ascertain the device ID length. </w:t>
      </w:r>
    </w:p>
    <w:p w14:paraId="41EEAA45">
      <w:pPr>
        <w:overflowPunct w:val="0"/>
        <w:autoSpaceDE w:val="0"/>
        <w:autoSpaceDN w:val="0"/>
        <w:adjustRightInd w:val="0"/>
        <w:spacing w:after="120" w:line="288" w:lineRule="auto"/>
        <w:jc w:val="both"/>
        <w:textAlignment w:val="baseline"/>
        <w:rPr>
          <w:rFonts w:hint="eastAsia" w:eastAsia="等线"/>
          <w:lang w:val="en-US" w:eastAsia="zh-CN"/>
        </w:rPr>
      </w:pPr>
      <w:r>
        <w:rPr>
          <w:rFonts w:hint="eastAsia" w:eastAsia="等线"/>
          <w:lang w:val="en-US" w:eastAsia="zh-CN"/>
        </w:rPr>
        <w:t xml:space="preserve">We believe option 1 is simpler and more straightforward. </w:t>
      </w:r>
    </w:p>
    <w:p w14:paraId="6FAC41D3">
      <w:pPr>
        <w:overflowPunct w:val="0"/>
        <w:autoSpaceDE w:val="0"/>
        <w:autoSpaceDN w:val="0"/>
        <w:adjustRightInd w:val="0"/>
        <w:spacing w:after="120" w:line="288" w:lineRule="auto"/>
        <w:jc w:val="both"/>
        <w:textAlignment w:val="baseline"/>
        <w:rPr>
          <w:rFonts w:hint="eastAsia" w:eastAsia="等线"/>
          <w:lang w:val="en-US" w:eastAsia="zh-CN"/>
        </w:rPr>
      </w:pPr>
      <w:r>
        <w:rPr>
          <w:rFonts w:hint="eastAsia" w:eastAsia="等线"/>
          <w:lang w:val="en-US" w:eastAsia="zh-CN"/>
        </w:rPr>
        <w:t>The draft reply LS based on the above discussion is in the Annex.</w:t>
      </w:r>
    </w:p>
    <w:p w14:paraId="002FADC2">
      <w:pPr>
        <w:overflowPunct w:val="0"/>
        <w:autoSpaceDE w:val="0"/>
        <w:autoSpaceDN w:val="0"/>
        <w:adjustRightInd w:val="0"/>
        <w:spacing w:after="120" w:line="288" w:lineRule="auto"/>
        <w:jc w:val="both"/>
        <w:textAlignment w:val="baseline"/>
        <w:rPr>
          <w:rFonts w:hint="default" w:eastAsia="等线"/>
          <w:b/>
          <w:bCs/>
          <w:lang w:val="en-US" w:eastAsia="zh-CN"/>
        </w:rPr>
      </w:pPr>
      <w:r>
        <w:rPr>
          <w:rFonts w:hint="eastAsia" w:eastAsia="等线"/>
          <w:b/>
          <w:bCs/>
          <w:lang w:val="en-US" w:eastAsia="zh-CN"/>
        </w:rPr>
        <w:t>Proposal 1, RAN3 reply RAN2 and SA2 the following:</w:t>
      </w:r>
    </w:p>
    <w:p w14:paraId="322E83BB">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RAN3 understand that </w:t>
      </w:r>
      <w:r>
        <w:rPr>
          <w:rFonts w:hint="eastAsia" w:eastAsia="等线"/>
          <w:b/>
          <w:bCs/>
          <w:lang w:val="en-US" w:eastAsia="zh-CN"/>
        </w:rPr>
        <w:t>the inventory response message size is determined by the Device ID length.</w:t>
      </w:r>
    </w:p>
    <w:p w14:paraId="7618B1BD">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In case of single device identification, the inventory response size can be determined by knowing the size of the device ID in the inventory request.</w:t>
      </w:r>
    </w:p>
    <w:p w14:paraId="6733BD79">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In the case of filtering information, the inventory response size can be determined either by the gNB reading the filter information with appropriate OAM configuration or</w:t>
      </w:r>
      <w:r>
        <w:rPr>
          <w:rFonts w:hint="eastAsia" w:ascii="Times New Roman" w:hAnsi="Times New Roman" w:eastAsia="宋体" w:cs="Times New Roman"/>
          <w:b/>
          <w:bCs/>
          <w:lang w:val="en-US" w:eastAsia="zh-CN" w:bidi="ar-SA"/>
        </w:rPr>
        <w:t xml:space="preserve"> by</w:t>
      </w:r>
      <w:r>
        <w:rPr>
          <w:rFonts w:hint="eastAsia"/>
          <w:b/>
          <w:bCs/>
          <w:lang w:val="en-US" w:eastAsia="zh-CN"/>
        </w:rPr>
        <w:t xml:space="preserve"> the Inventory Response Message Size provided by the CN.</w:t>
      </w:r>
    </w:p>
    <w:p w14:paraId="29E5026E">
      <w:pPr>
        <w:pStyle w:val="2"/>
        <w:rPr>
          <w:rFonts w:hint="default"/>
          <w:lang w:val="en-US" w:eastAsia="zh-CN"/>
        </w:rPr>
      </w:pPr>
      <w:r>
        <w:rPr>
          <w:rFonts w:hint="eastAsia"/>
          <w:lang w:val="en-US" w:eastAsia="zh-CN"/>
        </w:rPr>
        <w:t>3</w:t>
      </w:r>
      <w:r>
        <w:tab/>
      </w:r>
      <w:r>
        <w:rPr>
          <w:rFonts w:hint="eastAsia"/>
          <w:lang w:val="en-US" w:eastAsia="zh-CN"/>
        </w:rPr>
        <w:t>SA2 LS about A-IoT area (S2-2504288)</w:t>
      </w:r>
    </w:p>
    <w:p w14:paraId="58384182">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xml:space="preserve">The following is the reply LS from SA2 </w:t>
      </w:r>
      <w:r>
        <w:rPr>
          <w:rFonts w:hint="eastAsia"/>
        </w:rPr>
        <w:t>on Ambient IoT progress of RAN3 (SA2)</w:t>
      </w:r>
      <w:r>
        <w:rPr>
          <w:rFonts w:hint="eastAsia"/>
          <w:lang w:val="en-US" w:eastAsia="zh-CN"/>
        </w:rPr>
        <w:t xml:space="preserve"> in S2-250</w:t>
      </w:r>
      <w:r>
        <w:rPr>
          <w:rFonts w:hint="eastAsia"/>
          <w:highlight w:val="none"/>
          <w:lang w:val="en-US" w:eastAsia="zh-CN"/>
        </w:rPr>
        <w:t>4288[3]</w:t>
      </w:r>
      <w:r>
        <w:rPr>
          <w:rFonts w:hint="eastAsia"/>
          <w:lang w:val="en-US" w:eastAsia="zh-CN"/>
        </w:rPr>
        <w:t>, SA2 ask two questions about A-IoT area.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F12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BE0B30">
            <w:pPr>
              <w:spacing w:before="240"/>
              <w:rPr>
                <w:rFonts w:ascii="Arial" w:hAnsi="Arial" w:cs="Arial"/>
                <w:sz w:val="18"/>
                <w:szCs w:val="18"/>
                <w:lang w:eastAsia="zh-CN"/>
              </w:rPr>
            </w:pPr>
            <w:r>
              <w:rPr>
                <w:rFonts w:ascii="Arial" w:hAnsi="Arial" w:cs="Arial"/>
                <w:sz w:val="18"/>
                <w:szCs w:val="18"/>
                <w:lang w:eastAsia="zh-CN"/>
              </w:rPr>
              <w:t>SA2 thanks RAN3 for the LS about the RAN3 progress related to Architecture and OAM aspects.</w:t>
            </w:r>
          </w:p>
          <w:p w14:paraId="0E16DDBC">
            <w:pPr>
              <w:spacing w:before="240"/>
              <w:rPr>
                <w:rFonts w:ascii="Arial" w:hAnsi="Arial" w:cs="Arial"/>
                <w:i/>
                <w:iCs/>
                <w:sz w:val="18"/>
                <w:szCs w:val="18"/>
                <w:lang w:eastAsia="zh-CN"/>
              </w:rPr>
            </w:pPr>
            <w:r>
              <w:rPr>
                <w:rFonts w:hint="eastAsia" w:ascii="Arial" w:hAnsi="Arial" w:cs="Arial"/>
                <w:sz w:val="18"/>
                <w:szCs w:val="18"/>
                <w:lang w:eastAsia="zh-CN"/>
              </w:rPr>
              <w:t>S</w:t>
            </w:r>
            <w:r>
              <w:rPr>
                <w:rFonts w:ascii="Arial" w:hAnsi="Arial" w:cs="Arial"/>
                <w:sz w:val="18"/>
                <w:szCs w:val="18"/>
                <w:lang w:eastAsia="zh-CN"/>
              </w:rPr>
              <w:t>A2 would like to reply as following:</w:t>
            </w:r>
          </w:p>
          <w:p w14:paraId="1B09E432">
            <w:pPr>
              <w:pStyle w:val="95"/>
              <w:numPr>
                <w:ilvl w:val="0"/>
                <w:numId w:val="5"/>
              </w:numPr>
              <w:spacing w:before="240"/>
              <w:ind w:firstLineChars="0"/>
              <w:rPr>
                <w:rFonts w:ascii="Arial" w:hAnsi="Arial" w:cs="Arial"/>
                <w:i/>
                <w:iCs/>
                <w:sz w:val="20"/>
                <w:szCs w:val="21"/>
                <w:lang w:eastAsia="zh-CN"/>
              </w:rPr>
            </w:pPr>
            <w:r>
              <w:rPr>
                <w:rFonts w:ascii="Arial" w:hAnsi="Arial" w:cs="Arial"/>
                <w:i/>
                <w:iCs/>
                <w:sz w:val="20"/>
                <w:szCs w:val="21"/>
                <w:lang w:eastAsia="zh-CN"/>
              </w:rPr>
              <w:t xml:space="preserve">AIOTF obtains the A-IoT RAN information (supported </w:t>
            </w:r>
            <w:r>
              <w:rPr>
                <w:rFonts w:ascii="Arial" w:hAnsi="Arial" w:cs="Arial"/>
                <w:i/>
                <w:iCs/>
                <w:sz w:val="20"/>
                <w:szCs w:val="21"/>
                <w:u w:val="single"/>
                <w:lang w:eastAsia="zh-CN"/>
              </w:rPr>
              <w:t>Area</w:t>
            </w:r>
            <w:r>
              <w:rPr>
                <w:rFonts w:ascii="Arial" w:hAnsi="Arial" w:cs="Arial"/>
                <w:i/>
                <w:iCs/>
                <w:sz w:val="20"/>
                <w:szCs w:val="21"/>
                <w:lang w:eastAsia="zh-CN"/>
              </w:rPr>
              <w:t>, served reader ID list) via OAM configuration</w:t>
            </w:r>
            <w:r>
              <w:rPr>
                <w:rFonts w:hint="eastAsia" w:ascii="Arial" w:hAnsi="Arial" w:cs="Arial"/>
                <w:i/>
                <w:iCs/>
                <w:sz w:val="20"/>
                <w:szCs w:val="21"/>
                <w:lang w:eastAsia="zh-CN"/>
              </w:rPr>
              <w:t xml:space="preserve">, </w:t>
            </w:r>
            <w:r>
              <w:rPr>
                <w:rFonts w:ascii="Arial" w:hAnsi="Arial" w:cs="Arial"/>
                <w:i/>
                <w:iCs/>
                <w:sz w:val="20"/>
                <w:szCs w:val="21"/>
                <w:lang w:eastAsia="zh-CN"/>
              </w:rPr>
              <w:t xml:space="preserve">FFS on RAN3 signalling for the A-IoT RAN information. </w:t>
            </w:r>
          </w:p>
          <w:p w14:paraId="60F8337C">
            <w:pPr>
              <w:spacing w:before="240"/>
              <w:rPr>
                <w:rFonts w:ascii="Arial" w:hAnsi="Arial" w:cs="Arial"/>
                <w:sz w:val="18"/>
                <w:szCs w:val="18"/>
                <w:lang w:eastAsia="zh-CN"/>
              </w:rPr>
            </w:pPr>
            <w:r>
              <w:rPr>
                <w:rFonts w:ascii="Arial" w:hAnsi="Arial" w:cs="Arial"/>
                <w:b/>
                <w:bCs/>
                <w:sz w:val="18"/>
                <w:szCs w:val="18"/>
                <w:lang w:eastAsia="zh-CN"/>
              </w:rPr>
              <w:t>[</w:t>
            </w:r>
            <w:r>
              <w:rPr>
                <w:rFonts w:hint="eastAsia" w:ascii="Arial" w:hAnsi="Arial" w:cs="Arial"/>
                <w:b/>
                <w:bCs/>
                <w:sz w:val="18"/>
                <w:szCs w:val="18"/>
                <w:lang w:eastAsia="zh-CN"/>
              </w:rPr>
              <w:t>S</w:t>
            </w:r>
            <w:r>
              <w:rPr>
                <w:rFonts w:ascii="Arial" w:hAnsi="Arial" w:cs="Arial"/>
                <w:b/>
                <w:bCs/>
                <w:sz w:val="18"/>
                <w:szCs w:val="18"/>
                <w:lang w:eastAsia="zh-CN"/>
              </w:rPr>
              <w:t xml:space="preserve">A2 </w:t>
            </w:r>
            <w:r>
              <w:rPr>
                <w:rFonts w:hint="eastAsia" w:ascii="Arial" w:hAnsi="Arial" w:cs="Arial"/>
                <w:b/>
                <w:bCs/>
                <w:sz w:val="18"/>
                <w:szCs w:val="18"/>
                <w:lang w:eastAsia="zh-CN"/>
              </w:rPr>
              <w:t>repl</w:t>
            </w:r>
            <w:r>
              <w:rPr>
                <w:rFonts w:ascii="Arial" w:hAnsi="Arial" w:cs="Arial"/>
                <w:b/>
                <w:bCs/>
                <w:sz w:val="18"/>
                <w:szCs w:val="18"/>
                <w:lang w:eastAsia="zh-CN"/>
              </w:rPr>
              <w:t>y]:</w:t>
            </w:r>
            <w:r>
              <w:rPr>
                <w:rFonts w:ascii="Arial" w:hAnsi="Arial" w:cs="Arial"/>
                <w:sz w:val="18"/>
                <w:szCs w:val="18"/>
                <w:lang w:eastAsia="zh-CN"/>
              </w:rPr>
              <w:t xml:space="preserve"> </w:t>
            </w:r>
          </w:p>
          <w:p w14:paraId="708D60B3">
            <w:pPr>
              <w:pStyle w:val="95"/>
              <w:numPr>
                <w:ilvl w:val="0"/>
                <w:numId w:val="6"/>
              </w:numPr>
              <w:spacing w:before="240"/>
              <w:ind w:firstLineChars="0"/>
              <w:rPr>
                <w:rFonts w:ascii="Arial" w:hAnsi="Arial" w:cs="Arial"/>
                <w:sz w:val="20"/>
                <w:szCs w:val="21"/>
                <w:lang w:eastAsia="zh-CN"/>
              </w:rPr>
            </w:pPr>
            <w:r>
              <w:rPr>
                <w:rFonts w:ascii="Arial" w:hAnsi="Arial" w:cs="Arial"/>
                <w:sz w:val="20"/>
                <w:szCs w:val="21"/>
                <w:lang w:eastAsia="zh-CN"/>
              </w:rPr>
              <w:t xml:space="preserve">SA2 would ask whether </w:t>
            </w:r>
            <w:r>
              <w:rPr>
                <w:rFonts w:hint="eastAsia" w:ascii="Arial" w:hAnsi="Arial" w:cs="Arial"/>
                <w:sz w:val="20"/>
                <w:szCs w:val="21"/>
                <w:lang w:eastAsia="zh-CN"/>
              </w:rPr>
              <w:t>the</w:t>
            </w:r>
            <w:r>
              <w:rPr>
                <w:rFonts w:ascii="Arial" w:hAnsi="Arial" w:cs="Arial"/>
                <w:sz w:val="20"/>
                <w:szCs w:val="21"/>
                <w:lang w:eastAsia="zh-CN"/>
              </w:rPr>
              <w:t xml:space="preserve"> ‘supported Area’ is Tracking Area or a new type of area.</w:t>
            </w:r>
          </w:p>
          <w:p w14:paraId="38D8D793">
            <w:pPr>
              <w:pStyle w:val="95"/>
              <w:numPr>
                <w:ilvl w:val="0"/>
                <w:numId w:val="6"/>
              </w:numPr>
              <w:spacing w:before="240"/>
              <w:ind w:firstLineChars="0"/>
              <w:rPr>
                <w:rFonts w:hint="eastAsia"/>
                <w:vertAlign w:val="baseline"/>
                <w:lang w:val="en-US" w:eastAsia="zh-CN"/>
              </w:rPr>
            </w:pPr>
            <w:r>
              <w:rPr>
                <w:rFonts w:ascii="Arial" w:hAnsi="Arial" w:cs="Arial"/>
                <w:sz w:val="20"/>
                <w:szCs w:val="21"/>
                <w:lang w:eastAsia="zh-CN"/>
              </w:rPr>
              <w:t>SA2 would like to ask whether one reader is only part of one supported Area or can be part of multiple supported Areas.</w:t>
            </w:r>
          </w:p>
        </w:tc>
      </w:tr>
    </w:tbl>
    <w:p w14:paraId="04A1F68E">
      <w:pPr>
        <w:overflowPunct w:val="0"/>
        <w:autoSpaceDE w:val="0"/>
        <w:autoSpaceDN w:val="0"/>
        <w:adjustRightInd w:val="0"/>
        <w:spacing w:after="120" w:line="288" w:lineRule="auto"/>
        <w:jc w:val="both"/>
        <w:textAlignment w:val="baseline"/>
        <w:rPr>
          <w:rFonts w:hint="eastAsia"/>
          <w:lang w:val="en-US" w:eastAsia="zh-CN"/>
        </w:rPr>
      </w:pPr>
    </w:p>
    <w:p w14:paraId="2FB8F83B">
      <w:pPr>
        <w:keepNext w:val="0"/>
        <w:keepLines w:val="0"/>
        <w:pageBreakBefore w:val="0"/>
        <w:widowControl/>
        <w:kinsoku/>
        <w:wordWrap/>
        <w:overflowPunct w:val="0"/>
        <w:topLinePunct w:val="0"/>
        <w:autoSpaceDE w:val="0"/>
        <w:autoSpaceDN w:val="0"/>
        <w:bidi w:val="0"/>
        <w:adjustRightInd w:val="0"/>
        <w:snapToGrid/>
        <w:spacing w:after="120" w:line="288" w:lineRule="auto"/>
        <w:jc w:val="both"/>
        <w:textAlignment w:val="baseline"/>
        <w:outlineLvl w:val="2"/>
        <w:rPr>
          <w:rFonts w:hint="default"/>
          <w:lang w:val="en-US" w:eastAsia="zh-CN"/>
        </w:rPr>
      </w:pPr>
      <w:r>
        <w:rPr>
          <w:rFonts w:hint="eastAsia"/>
          <w:b/>
          <w:bCs/>
          <w:u w:val="single"/>
          <w:lang w:val="en-US" w:eastAsia="zh-CN"/>
        </w:rPr>
        <w:t xml:space="preserve">Question 1, whether the </w:t>
      </w:r>
      <w:r>
        <w:rPr>
          <w:rFonts w:hint="default"/>
          <w:b/>
          <w:bCs/>
          <w:u w:val="single"/>
          <w:lang w:val="en-US" w:eastAsia="zh-CN"/>
        </w:rPr>
        <w:t>“</w:t>
      </w:r>
      <w:r>
        <w:rPr>
          <w:rFonts w:hint="eastAsia"/>
          <w:b/>
          <w:bCs/>
          <w:u w:val="single"/>
          <w:lang w:val="en-US" w:eastAsia="zh-CN"/>
        </w:rPr>
        <w:t>supported Area</w:t>
      </w:r>
      <w:r>
        <w:rPr>
          <w:rFonts w:hint="default"/>
          <w:b/>
          <w:bCs/>
          <w:u w:val="single"/>
          <w:lang w:val="en-US" w:eastAsia="zh-CN"/>
        </w:rPr>
        <w:t>”</w:t>
      </w:r>
      <w:r>
        <w:rPr>
          <w:rFonts w:hint="eastAsia"/>
          <w:b/>
          <w:bCs/>
          <w:u w:val="single"/>
          <w:lang w:val="en-US" w:eastAsia="zh-CN"/>
        </w:rPr>
        <w:t xml:space="preserve"> is Tracking Area or a new type of area.</w:t>
      </w:r>
    </w:p>
    <w:p w14:paraId="22344851">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According to RAN3 agreement below, a new type of area is introduced for A-IoT service for both the requested area and the supported area. But RAN3 is still discussing the encoding. Our understanding that the A-IoT area should be encoded as geographical area, which can be represented by circle or polygon, as we discussed</w:t>
      </w:r>
      <w:r>
        <w:rPr>
          <w:rFonts w:hint="eastAsia"/>
          <w:highlight w:val="none"/>
          <w:lang w:val="en-US" w:eastAsia="zh-CN"/>
        </w:rPr>
        <w:t xml:space="preserve">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01C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6683226">
            <w:pPr>
              <w:overflowPunct w:val="0"/>
              <w:autoSpaceDE w:val="0"/>
              <w:autoSpaceDN w:val="0"/>
              <w:adjustRightInd w:val="0"/>
              <w:spacing w:after="120" w:line="288" w:lineRule="auto"/>
              <w:jc w:val="both"/>
              <w:textAlignment w:val="baseline"/>
              <w:rPr>
                <w:rFonts w:hint="eastAsia"/>
                <w:vertAlign w:val="baseline"/>
                <w:lang w:val="en-US" w:eastAsia="zh-CN"/>
              </w:rPr>
            </w:pPr>
            <w:r>
              <w:rPr>
                <w:rFonts w:hint="eastAsia"/>
                <w:vertAlign w:val="baseline"/>
                <w:lang w:val="en-US" w:eastAsia="zh-CN"/>
              </w:rPr>
              <w:t>RAN3#127-bis</w:t>
            </w:r>
          </w:p>
          <w:p w14:paraId="1BD3D65B">
            <w:pPr>
              <w:pStyle w:val="95"/>
              <w:numPr>
                <w:ilvl w:val="0"/>
                <w:numId w:val="7"/>
              </w:numPr>
              <w:overflowPunct/>
              <w:autoSpaceDE/>
              <w:autoSpaceDN/>
              <w:adjustRightInd/>
              <w:spacing w:after="0"/>
              <w:ind w:left="600" w:leftChars="0" w:firstLineChars="0"/>
              <w:textAlignment w:val="auto"/>
              <w:rPr>
                <w:rFonts w:ascii="Calibri" w:hAnsi="Calibri" w:cs="Calibri"/>
                <w:b/>
                <w:color w:val="008000"/>
                <w:sz w:val="18"/>
                <w:szCs w:val="20"/>
                <w:highlight w:val="none"/>
                <w:lang w:eastAsia="en-US"/>
              </w:rPr>
            </w:pPr>
            <w:r>
              <w:rPr>
                <w:rFonts w:ascii="Calibri" w:hAnsi="Calibri" w:cs="Calibri"/>
                <w:b/>
                <w:color w:val="008000"/>
                <w:sz w:val="18"/>
                <w:szCs w:val="20"/>
                <w:highlight w:val="none"/>
                <w:lang w:eastAsia="en-US"/>
              </w:rPr>
              <w:t xml:space="preserve">Introduce a new “A-IoT Area”. The AIOTF may indicate the Requested Service Area as a list of “A-IoT Areas” and/or a list of readers in the Inventory Request message. </w:t>
            </w:r>
          </w:p>
          <w:p w14:paraId="783B07F8">
            <w:pPr>
              <w:pStyle w:val="95"/>
              <w:numPr>
                <w:ilvl w:val="0"/>
                <w:numId w:val="7"/>
              </w:numPr>
              <w:overflowPunct/>
              <w:autoSpaceDE/>
              <w:autoSpaceDN/>
              <w:adjustRightInd/>
              <w:spacing w:after="0"/>
              <w:ind w:left="600" w:leftChars="0" w:firstLineChars="0"/>
              <w:textAlignment w:val="auto"/>
              <w:rPr>
                <w:rFonts w:hint="default"/>
                <w:vertAlign w:val="baseline"/>
                <w:lang w:val="en-US" w:eastAsia="zh-CN"/>
              </w:rPr>
            </w:pPr>
            <w:r>
              <w:rPr>
                <w:rFonts w:ascii="Calibri" w:hAnsi="Calibri" w:cs="Calibri"/>
                <w:b/>
                <w:color w:val="008000"/>
                <w:sz w:val="18"/>
                <w:szCs w:val="20"/>
                <w:highlight w:val="none"/>
                <w:lang w:eastAsia="en-US"/>
              </w:rPr>
              <w:t>The AIOTF is aware of the area within which the gNB supports the provision of A-IoT services by means of OAM. This area may be represented as “A-IoT Areas” and/or the readers supported by the gNB.</w:t>
            </w:r>
          </w:p>
          <w:p w14:paraId="7B2D98AA">
            <w:pPr>
              <w:keepNext w:val="0"/>
              <w:keepLines w:val="0"/>
              <w:pageBreakBefore w:val="0"/>
              <w:widowControl/>
              <w:kinsoku/>
              <w:wordWrap/>
              <w:overflowPunct w:val="0"/>
              <w:topLinePunct w:val="0"/>
              <w:autoSpaceDE w:val="0"/>
              <w:autoSpaceDN w:val="0"/>
              <w:bidi w:val="0"/>
              <w:adjustRightInd w:val="0"/>
              <w:snapToGrid/>
              <w:spacing w:after="0" w:line="240" w:lineRule="auto"/>
              <w:ind w:firstLine="723" w:firstLineChars="400"/>
              <w:textAlignment w:val="baseline"/>
              <w:rPr>
                <w:rFonts w:hint="default"/>
                <w:vertAlign w:val="baseline"/>
                <w:lang w:val="en-US" w:eastAsia="zh-CN"/>
              </w:rPr>
            </w:pPr>
            <w:r>
              <w:rPr>
                <w:rFonts w:cs="Calibri"/>
                <w:b/>
                <w:color w:val="0000FF"/>
                <w:sz w:val="18"/>
                <w:highlight w:val="none"/>
                <w:lang w:eastAsia="en-US"/>
              </w:rPr>
              <w:t>It is FFS whether the new A-IoT Area is encoded as GNSS info or new A-IoT Area ID.</w:t>
            </w:r>
          </w:p>
        </w:tc>
      </w:tr>
    </w:tbl>
    <w:p w14:paraId="238D94D8">
      <w:pPr>
        <w:overflowPunct w:val="0"/>
        <w:autoSpaceDE w:val="0"/>
        <w:autoSpaceDN w:val="0"/>
        <w:adjustRightInd w:val="0"/>
        <w:spacing w:after="120" w:line="288" w:lineRule="auto"/>
        <w:jc w:val="both"/>
        <w:textAlignment w:val="baseline"/>
        <w:rPr>
          <w:rFonts w:hint="default"/>
          <w:lang w:val="en-US" w:eastAsia="zh-CN"/>
        </w:rPr>
      </w:pPr>
    </w:p>
    <w:p w14:paraId="319353D0">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Proposal 2, Answer to question 1: </w:t>
      </w:r>
      <w:r>
        <w:rPr>
          <w:rFonts w:hint="default"/>
          <w:b/>
          <w:bCs/>
          <w:lang w:val="en-US" w:eastAsia="zh-CN"/>
        </w:rPr>
        <w:t>“</w:t>
      </w:r>
      <w:r>
        <w:rPr>
          <w:rFonts w:hint="eastAsia"/>
          <w:b/>
          <w:bCs/>
          <w:lang w:val="en-US" w:eastAsia="zh-CN"/>
        </w:rPr>
        <w:t>Supported Area</w:t>
      </w:r>
      <w:r>
        <w:rPr>
          <w:rFonts w:hint="default"/>
          <w:b/>
          <w:bCs/>
          <w:lang w:val="en-US" w:eastAsia="zh-CN"/>
        </w:rPr>
        <w:t>”</w:t>
      </w:r>
      <w:r>
        <w:rPr>
          <w:rFonts w:hint="eastAsia"/>
          <w:b/>
          <w:bCs/>
          <w:lang w:val="en-US" w:eastAsia="zh-CN"/>
        </w:rPr>
        <w:t xml:space="preserve"> is a new type of area, and the encoding of the </w:t>
      </w:r>
      <w:r>
        <w:rPr>
          <w:rFonts w:hint="default"/>
          <w:b/>
          <w:bCs/>
          <w:lang w:val="en-US" w:eastAsia="zh-CN"/>
        </w:rPr>
        <w:t>“</w:t>
      </w:r>
      <w:r>
        <w:rPr>
          <w:rFonts w:hint="eastAsia"/>
          <w:b/>
          <w:bCs/>
          <w:lang w:val="en-US" w:eastAsia="zh-CN"/>
        </w:rPr>
        <w:t>A-IoT</w:t>
      </w:r>
      <w:r>
        <w:rPr>
          <w:rFonts w:hint="default"/>
          <w:b/>
          <w:bCs/>
          <w:lang w:val="en-US" w:eastAsia="zh-CN"/>
        </w:rPr>
        <w:t>”</w:t>
      </w:r>
      <w:r>
        <w:rPr>
          <w:rFonts w:hint="eastAsia"/>
          <w:b/>
          <w:bCs/>
          <w:lang w:val="en-US" w:eastAsia="zh-CN"/>
        </w:rPr>
        <w:t xml:space="preserve"> area is geographical area.</w:t>
      </w:r>
    </w:p>
    <w:p w14:paraId="63D68C02">
      <w:pPr>
        <w:keepNext w:val="0"/>
        <w:keepLines w:val="0"/>
        <w:pageBreakBefore w:val="0"/>
        <w:widowControl/>
        <w:kinsoku/>
        <w:wordWrap/>
        <w:overflowPunct w:val="0"/>
        <w:topLinePunct w:val="0"/>
        <w:autoSpaceDE w:val="0"/>
        <w:autoSpaceDN w:val="0"/>
        <w:bidi w:val="0"/>
        <w:adjustRightInd w:val="0"/>
        <w:snapToGrid/>
        <w:spacing w:after="120" w:line="288" w:lineRule="auto"/>
        <w:jc w:val="both"/>
        <w:textAlignment w:val="baseline"/>
        <w:outlineLvl w:val="2"/>
        <w:rPr>
          <w:rFonts w:hint="default"/>
          <w:lang w:val="en-US" w:eastAsia="zh-CN"/>
        </w:rPr>
      </w:pPr>
      <w:r>
        <w:rPr>
          <w:rFonts w:hint="eastAsia"/>
          <w:b/>
          <w:bCs/>
          <w:u w:val="single"/>
          <w:lang w:val="en-US" w:eastAsia="zh-CN"/>
        </w:rPr>
        <w:t>Question 2, one reader is only part of one supported Area or can be part of multiple supported Areas.</w:t>
      </w:r>
    </w:p>
    <w:p w14:paraId="0DF73D79">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RAN2 is currently discussing issues and potential solutions related to parallel service requests. As per the discussion in [4], the problems of overlapping service requests revolves around conflicts from parallel intra-reader procedures, challenges in coordinating multiple readers, ambiguous device behavior during ongoing sessions, risks of deadlock affecting all devices, low resource efficiency, and compatibility requirements between Rel-19/20. It emphasizes adherence to physical layer timing constraints and a</w:t>
      </w:r>
      <w:r>
        <w:rPr>
          <w:rFonts w:hint="eastAsia" w:ascii="Times New Roman" w:hAnsi="Times New Roman" w:eastAsia="宋体" w:cs="Times New Roman"/>
          <w:lang w:val="en-US" w:eastAsia="zh-CN" w:bidi="ar-SA"/>
        </w:rPr>
        <w:t>d</w:t>
      </w:r>
      <w:r>
        <w:rPr>
          <w:rFonts w:hint="eastAsia"/>
          <w:lang w:val="en-US" w:eastAsia="zh-CN"/>
        </w:rPr>
        <w:t>vises against specifying device behavior in overlapping scenarios if unresolved.</w:t>
      </w:r>
    </w:p>
    <w:p w14:paraId="3CC4CC7F">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It is understood that numerous issues will arise if overlapping service requests are supported. To prevent overlaps, the supported areas for different gNBs should be distinct, thereby eliminating the need for inter-gNB coordination. Within a gNB, if multiple service requests are received simultaneously, the gNB implementation can handle reader coordination to prevent overlaps at the A-IoT radio.</w:t>
      </w:r>
    </w:p>
    <w:p w14:paraId="72A56AD4">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RAN3, on the other hand, has not yet discussed the relationship between the reader and the supported area. In our view, to avoid overlapping cases, it is preferable that one reader is associated with only one supported area, which can be defined either per reader or per gNB level.</w:t>
      </w:r>
    </w:p>
    <w:p w14:paraId="013A5A43">
      <w:pPr>
        <w:overflowPunct w:val="0"/>
        <w:autoSpaceDE w:val="0"/>
        <w:autoSpaceDN w:val="0"/>
        <w:adjustRightInd w:val="0"/>
        <w:spacing w:after="120" w:line="288" w:lineRule="auto"/>
        <w:jc w:val="both"/>
        <w:textAlignment w:val="baseline"/>
        <w:rPr>
          <w:rFonts w:hint="eastAsia"/>
          <w:lang w:val="en-US" w:eastAsia="zh-CN"/>
        </w:rPr>
      </w:pPr>
      <w:r>
        <w:rPr>
          <w:rFonts w:hint="eastAsia"/>
          <w:b/>
          <w:bCs/>
          <w:lang w:val="en-US" w:eastAsia="zh-CN"/>
        </w:rPr>
        <w:t>Observation 1, From the perspective of RAN2, it indicates that supporting interleaved service requests would introduce numerous issues, complexities, and challenges</w:t>
      </w:r>
      <w:r>
        <w:rPr>
          <w:rFonts w:hint="eastAsia"/>
          <w:lang w:val="en-US" w:eastAsia="zh-CN"/>
        </w:rPr>
        <w:t>.</w:t>
      </w:r>
    </w:p>
    <w:p w14:paraId="2C8ED730">
      <w:pPr>
        <w:overflowPunct w:val="0"/>
        <w:autoSpaceDE w:val="0"/>
        <w:autoSpaceDN w:val="0"/>
        <w:adjustRightInd w:val="0"/>
        <w:spacing w:after="120" w:line="288" w:lineRule="auto"/>
        <w:jc w:val="both"/>
        <w:textAlignment w:val="baseline"/>
        <w:rPr>
          <w:rFonts w:hint="eastAsia"/>
        </w:rPr>
      </w:pPr>
      <w:r>
        <w:rPr>
          <w:rFonts w:hint="eastAsia"/>
          <w:b/>
          <w:bCs/>
          <w:lang w:val="en-US" w:eastAsia="zh-CN"/>
        </w:rPr>
        <w:t xml:space="preserve">Proposal 3, Answer to question 2: "The supported area can be </w:t>
      </w:r>
      <w:r>
        <w:rPr>
          <w:rFonts w:hint="eastAsia" w:ascii="Times New Roman" w:hAnsi="Times New Roman" w:eastAsia="宋体" w:cs="Times New Roman"/>
          <w:b/>
          <w:bCs/>
          <w:lang w:val="en-US" w:eastAsia="zh-CN" w:bidi="ar-SA"/>
        </w:rPr>
        <w:t xml:space="preserve">defined </w:t>
      </w:r>
      <w:r>
        <w:rPr>
          <w:rFonts w:hint="eastAsia"/>
          <w:b/>
          <w:bCs/>
          <w:lang w:val="en-US" w:eastAsia="zh-CN"/>
        </w:rPr>
        <w:t>per reader or per gNB. It should be noted that different gNBs or different readers have different supported areas to avoid interleaved service requests."</w:t>
      </w:r>
    </w:p>
    <w:p w14:paraId="7AF9D200">
      <w:pPr>
        <w:pStyle w:val="2"/>
        <w:rPr>
          <w:rFonts w:hint="default"/>
          <w:lang w:val="en-US" w:eastAsia="zh-CN"/>
        </w:rPr>
      </w:pPr>
      <w:r>
        <w:rPr>
          <w:rFonts w:hint="eastAsia"/>
          <w:lang w:val="en-US" w:eastAsia="zh-CN"/>
        </w:rPr>
        <w:t>4</w:t>
      </w:r>
      <w:r>
        <w:tab/>
      </w:r>
      <w:r>
        <w:rPr>
          <w:rFonts w:hint="eastAsia"/>
          <w:lang w:val="en-US" w:eastAsia="zh-CN"/>
        </w:rPr>
        <w:t>SA2 LS about service type (</w:t>
      </w:r>
      <w:r>
        <w:rPr>
          <w:rFonts w:hint="eastAsia"/>
          <w:lang w:val="en-US" w:eastAsia="zh-CN"/>
        </w:rPr>
        <w:tab/>
      </w:r>
      <w:r>
        <w:rPr>
          <w:rFonts w:hint="eastAsia"/>
          <w:lang w:val="en-US" w:eastAsia="zh-CN"/>
        </w:rPr>
        <w:t>R3-253016/S2-2504294)</w:t>
      </w:r>
    </w:p>
    <w:p w14:paraId="51AF2B8E">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xml:space="preserve">The following is the reply LS from SA2 </w:t>
      </w:r>
      <w:r>
        <w:rPr>
          <w:rFonts w:hint="eastAsia"/>
        </w:rPr>
        <w:t>on</w:t>
      </w:r>
      <w:r>
        <w:rPr>
          <w:rFonts w:hint="eastAsia"/>
          <w:lang w:val="en-US" w:eastAsia="zh-CN"/>
        </w:rPr>
        <w:t xml:space="preserve"> the </w:t>
      </w:r>
      <w:r>
        <w:rPr>
          <w:rFonts w:hint="eastAsia"/>
        </w:rPr>
        <w:t>removal of service type information</w:t>
      </w:r>
      <w:r>
        <w:rPr>
          <w:rFonts w:hint="eastAsia"/>
          <w:lang w:val="en-US" w:eastAsia="zh-CN"/>
        </w:rPr>
        <w:t xml:space="preserve"> in </w:t>
      </w:r>
      <w:r>
        <w:rPr>
          <w:rFonts w:hint="eastAsia"/>
        </w:rPr>
        <w:t>S2-25042</w:t>
      </w:r>
      <w:r>
        <w:rPr>
          <w:rFonts w:hint="eastAsia"/>
          <w:highlight w:val="none"/>
        </w:rPr>
        <w:t>94</w:t>
      </w:r>
      <w:r>
        <w:rPr>
          <w:rFonts w:hint="eastAsia"/>
          <w:highlight w:val="none"/>
          <w:lang w:val="en-US" w:eastAsia="zh-CN"/>
        </w:rPr>
        <w:t>[5],</w:t>
      </w:r>
      <w:r>
        <w:rPr>
          <w:rFonts w:hint="eastAsia"/>
          <w:lang w:val="en-US" w:eastAsia="zh-CN"/>
        </w:rPr>
        <w:t xml:space="preserve"> SA2 ask if RAN2/3 has concerns to remove </w:t>
      </w:r>
      <w:r>
        <w:rPr>
          <w:rFonts w:hint="default"/>
          <w:lang w:val="en-US" w:eastAsia="zh-CN"/>
        </w:rPr>
        <w:t>“</w:t>
      </w:r>
      <w:r>
        <w:rPr>
          <w:rFonts w:hint="eastAsia"/>
          <w:lang w:val="en-US" w:eastAsia="zh-CN"/>
        </w:rPr>
        <w:t>service type</w:t>
      </w:r>
      <w:r>
        <w:rPr>
          <w:rFonts w:hint="default"/>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CC1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30E9BB5">
            <w:pPr>
              <w:rPr>
                <w:vertAlign w:val="baseline"/>
              </w:rPr>
            </w:pPr>
            <w:r>
              <w:t>SA2 has been discussing whether “Service Type” (i.e., Inventory or Command) information in “Assistance Information” provided by the AIOTF to the NG-RAN is still needed, considering the fact that RAN3 has agreed to use separate NGAP procedures for Inventory and Command respectively. SA2 would like to ask RAN2 and RAN3 whether there is any concern if SA2 agrees to remove “Service Type” from “Assistance Information”.</w:t>
            </w:r>
          </w:p>
        </w:tc>
      </w:tr>
    </w:tbl>
    <w:p w14:paraId="7E9FC329">
      <w:pPr>
        <w:overflowPunct w:val="0"/>
        <w:autoSpaceDE w:val="0"/>
        <w:autoSpaceDN w:val="0"/>
        <w:adjustRightInd w:val="0"/>
        <w:spacing w:after="120" w:line="288" w:lineRule="auto"/>
        <w:jc w:val="both"/>
        <w:textAlignment w:val="baseline"/>
        <w:rPr>
          <w:rFonts w:hint="eastAsia"/>
        </w:rPr>
      </w:pPr>
    </w:p>
    <w:p w14:paraId="06DCAAC6">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xml:space="preserve">The initial intention to know the service type for a reader is because different behaviors for inventory only and inventory+command request. According to RAN3 agreement below, RAN3 agree to introduce </w:t>
      </w:r>
      <w:r>
        <w:rPr>
          <w:rFonts w:hint="default"/>
          <w:lang w:val="en-US" w:eastAsia="zh-CN"/>
        </w:rPr>
        <w:t>“</w:t>
      </w:r>
      <w:r>
        <w:rPr>
          <w:rFonts w:hint="eastAsia"/>
          <w:lang w:val="en-US" w:eastAsia="zh-CN"/>
        </w:rPr>
        <w:t>follow-on command</w:t>
      </w:r>
      <w:r>
        <w:rPr>
          <w:rFonts w:hint="default"/>
          <w:lang w:val="en-US" w:eastAsia="zh-CN"/>
        </w:rPr>
        <w:t>”</w:t>
      </w:r>
      <w:r>
        <w:rPr>
          <w:rFonts w:hint="eastAsia"/>
          <w:lang w:val="en-US" w:eastAsia="zh-CN"/>
        </w:rPr>
        <w:t xml:space="preserve"> in the inventory request, which indicate this is a </w:t>
      </w:r>
      <w:r>
        <w:rPr>
          <w:rFonts w:hint="default"/>
          <w:lang w:val="en-US" w:eastAsia="zh-CN"/>
        </w:rPr>
        <w:t>“</w:t>
      </w:r>
      <w:r>
        <w:rPr>
          <w:rFonts w:hint="eastAsia"/>
          <w:lang w:val="en-US" w:eastAsia="zh-CN"/>
        </w:rPr>
        <w:t>inventory+command</w:t>
      </w:r>
      <w:r>
        <w:rPr>
          <w:rFonts w:hint="default"/>
          <w:lang w:val="en-US" w:eastAsia="zh-CN"/>
        </w:rPr>
        <w:t>”</w:t>
      </w:r>
      <w:r>
        <w:rPr>
          <w:rFonts w:hint="eastAsia"/>
          <w:lang w:val="en-US" w:eastAsia="zh-CN"/>
        </w:rPr>
        <w:t xml:space="preserve"> service, if this IE is not present, it indicates that this is </w:t>
      </w:r>
      <w:r>
        <w:rPr>
          <w:rFonts w:hint="default"/>
          <w:lang w:val="en-US" w:eastAsia="zh-CN"/>
        </w:rPr>
        <w:t>“</w:t>
      </w:r>
      <w:r>
        <w:rPr>
          <w:rFonts w:hint="eastAsia"/>
          <w:lang w:val="en-US" w:eastAsia="zh-CN"/>
        </w:rPr>
        <w:t>inventory-only</w:t>
      </w:r>
      <w:r>
        <w:rPr>
          <w:rFonts w:hint="default"/>
          <w:lang w:val="en-US" w:eastAsia="zh-CN"/>
        </w:rPr>
        <w:t>”</w:t>
      </w:r>
      <w:r>
        <w:rPr>
          <w:rFonts w:hint="eastAsia"/>
          <w:lang w:val="en-US" w:eastAsia="zh-CN"/>
        </w:rPr>
        <w:t xml:space="preserve"> service, thus, it can be understood that this IE already support indication of </w:t>
      </w:r>
      <w:r>
        <w:rPr>
          <w:rFonts w:hint="default"/>
          <w:lang w:val="en-US" w:eastAsia="zh-CN"/>
        </w:rPr>
        <w:t>“</w:t>
      </w:r>
      <w:r>
        <w:rPr>
          <w:rFonts w:hint="eastAsia"/>
          <w:lang w:val="en-US" w:eastAsia="zh-CN"/>
        </w:rPr>
        <w:t>service type</w:t>
      </w:r>
      <w:r>
        <w:rPr>
          <w:rFonts w:hint="default"/>
          <w:lang w:val="en-US" w:eastAsia="zh-CN"/>
        </w:rPr>
        <w:t>”</w:t>
      </w:r>
      <w:r>
        <w:rPr>
          <w:rFonts w:hint="eastAsia"/>
          <w:lang w:val="en-US" w:eastAsia="zh-CN"/>
        </w:rPr>
        <w:t>, then,from RAN3 understanding, there</w:t>
      </w:r>
      <w:r>
        <w:rPr>
          <w:rFonts w:hint="default"/>
          <w:lang w:val="en-US" w:eastAsia="zh-CN"/>
        </w:rPr>
        <w:t>’</w:t>
      </w:r>
      <w:r>
        <w:rPr>
          <w:rFonts w:hint="eastAsia"/>
          <w:lang w:val="en-US" w:eastAsia="zh-CN"/>
        </w:rPr>
        <w:t xml:space="preserve">s no concern to remove </w:t>
      </w:r>
      <w:r>
        <w:rPr>
          <w:rFonts w:hint="default"/>
          <w:lang w:val="en-US" w:eastAsia="zh-CN"/>
        </w:rPr>
        <w:t>“</w:t>
      </w:r>
      <w:r>
        <w:rPr>
          <w:rFonts w:hint="eastAsia"/>
          <w:lang w:val="en-US" w:eastAsia="zh-CN"/>
        </w:rPr>
        <w:t>service type</w:t>
      </w:r>
      <w:r>
        <w:rPr>
          <w:rFonts w:hint="default"/>
          <w:lang w:val="en-US" w:eastAsia="zh-CN"/>
        </w:rPr>
        <w:t>”</w:t>
      </w:r>
    </w:p>
    <w:p w14:paraId="01C35E18">
      <w:pPr>
        <w:overflowPunct w:val="0"/>
        <w:autoSpaceDE w:val="0"/>
        <w:autoSpaceDN w:val="0"/>
        <w:adjustRightInd w:val="0"/>
        <w:spacing w:after="120" w:line="288" w:lineRule="auto"/>
        <w:jc w:val="both"/>
        <w:textAlignment w:val="baseline"/>
        <w:rPr>
          <w:rFonts w:hint="eastAsia"/>
        </w:rPr>
      </w:pPr>
      <w:r>
        <w:rPr>
          <w:rFonts w:hint="eastAsia"/>
          <w:b/>
          <w:bCs/>
          <w:lang w:val="en-US" w:eastAsia="zh-CN"/>
        </w:rPr>
        <w:t>Proposal 4, RAN3 reply that there</w:t>
      </w:r>
      <w:r>
        <w:rPr>
          <w:rFonts w:hint="default"/>
          <w:b/>
          <w:bCs/>
          <w:lang w:val="en-US" w:eastAsia="zh-CN"/>
        </w:rPr>
        <w:t>’</w:t>
      </w:r>
      <w:r>
        <w:rPr>
          <w:rFonts w:hint="eastAsia"/>
          <w:b/>
          <w:bCs/>
          <w:lang w:val="en-US" w:eastAsia="zh-CN"/>
        </w:rPr>
        <w:t xml:space="preserve">s no concerns to remove the </w:t>
      </w:r>
      <w:r>
        <w:rPr>
          <w:rFonts w:hint="default"/>
          <w:b/>
          <w:bCs/>
          <w:lang w:val="en-US" w:eastAsia="zh-CN"/>
        </w:rPr>
        <w:t>“</w:t>
      </w:r>
      <w:r>
        <w:rPr>
          <w:rFonts w:hint="eastAsia"/>
          <w:b/>
          <w:bCs/>
          <w:lang w:val="en-US" w:eastAsia="zh-CN"/>
        </w:rPr>
        <w:t>service type</w:t>
      </w:r>
      <w:r>
        <w:rPr>
          <w:rFonts w:hint="default"/>
          <w:b/>
          <w:bCs/>
          <w:lang w:val="en-US" w:eastAsia="zh-CN"/>
        </w:rPr>
        <w:t>”</w:t>
      </w:r>
      <w:r>
        <w:rPr>
          <w:rFonts w:hint="eastAsia"/>
          <w:b/>
          <w:bCs/>
          <w:lang w:val="en-US" w:eastAsia="zh-CN"/>
        </w:rPr>
        <w:t xml:space="preserve"> as RAN3 agrees to introduce </w:t>
      </w:r>
      <w:r>
        <w:rPr>
          <w:rFonts w:hint="default"/>
          <w:b/>
          <w:bCs/>
          <w:lang w:val="en-US" w:eastAsia="zh-CN"/>
        </w:rPr>
        <w:t>“</w:t>
      </w:r>
      <w:r>
        <w:rPr>
          <w:rFonts w:hint="eastAsia"/>
          <w:b/>
          <w:bCs/>
          <w:lang w:val="en-US" w:eastAsia="zh-CN"/>
        </w:rPr>
        <w:t>follow-on command</w:t>
      </w:r>
      <w:r>
        <w:rPr>
          <w:rFonts w:hint="default"/>
          <w:b/>
          <w:bCs/>
          <w:lang w:val="en-US" w:eastAsia="zh-CN"/>
        </w:rPr>
        <w:t>”</w:t>
      </w:r>
      <w:r>
        <w:rPr>
          <w:rFonts w:hint="eastAsia"/>
          <w:b/>
          <w:bCs/>
          <w:lang w:val="en-US" w:eastAsia="zh-CN"/>
        </w:rPr>
        <w:t xml:space="preserve"> indication in the inventory request which can be used to indicate the service type.</w:t>
      </w:r>
    </w:p>
    <w:p w14:paraId="28690901">
      <w:pPr>
        <w:pStyle w:val="2"/>
      </w:pPr>
      <w:r>
        <w:rPr>
          <w:rFonts w:hint="eastAsia"/>
          <w:lang w:val="en-US" w:eastAsia="zh-CN"/>
        </w:rPr>
        <w:t>5</w:t>
      </w:r>
      <w:r>
        <w:tab/>
      </w:r>
      <w:r>
        <w:t>Conclusion</w:t>
      </w:r>
    </w:p>
    <w:p w14:paraId="608B2116">
      <w:r>
        <w:t xml:space="preserve">In this contribution, we discussed </w:t>
      </w:r>
      <w:r>
        <w:rPr>
          <w:rFonts w:hint="eastAsia"/>
          <w:lang w:val="en-US" w:eastAsia="zh-CN"/>
        </w:rPr>
        <w:t>the issues and questions in the LSs from RAN2 and SA2 and provide the draft reply LS in the Annexes</w:t>
      </w:r>
      <w:r>
        <w:t xml:space="preserve">. </w:t>
      </w:r>
    </w:p>
    <w:p w14:paraId="18A5E5D9">
      <w:pPr>
        <w:keepNext w:val="0"/>
        <w:keepLines w:val="0"/>
        <w:pageBreakBefore w:val="0"/>
        <w:widowControl/>
        <w:kinsoku/>
        <w:wordWrap/>
        <w:overflowPunct/>
        <w:topLinePunct w:val="0"/>
        <w:autoSpaceDE/>
        <w:autoSpaceDN/>
        <w:bidi w:val="0"/>
        <w:adjustRightInd/>
        <w:snapToGrid/>
        <w:textAlignment w:val="auto"/>
        <w:outlineLvl w:val="2"/>
        <w:rPr>
          <w:b/>
          <w:bCs/>
          <w:u w:val="single"/>
        </w:rPr>
      </w:pPr>
      <w:r>
        <w:rPr>
          <w:rFonts w:hint="eastAsia"/>
          <w:b/>
          <w:bCs/>
          <w:u w:val="single"/>
          <w:lang w:val="en-US" w:eastAsia="zh-CN"/>
        </w:rPr>
        <w:t>RAN2 LS about inventory response size</w:t>
      </w:r>
    </w:p>
    <w:p w14:paraId="4E1DD967">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RAN3 understand that </w:t>
      </w:r>
      <w:r>
        <w:rPr>
          <w:rFonts w:hint="eastAsia" w:eastAsia="等线"/>
          <w:b/>
          <w:bCs/>
          <w:lang w:val="en-US" w:eastAsia="zh-CN"/>
        </w:rPr>
        <w:t>the inventory response message size is determined by the Device ID length.</w:t>
      </w:r>
    </w:p>
    <w:p w14:paraId="0B291DC4">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In case of single device identification, the inventory response size can be determined by knowing the size of the device ID in the inventory request.</w:t>
      </w:r>
    </w:p>
    <w:p w14:paraId="7BD925C5">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In the case of filtering information, the inventory response size can be determined either by the gNB reading the filter information with appropriate OAM configuration or</w:t>
      </w:r>
      <w:r>
        <w:rPr>
          <w:rFonts w:hint="eastAsia" w:ascii="Times New Roman" w:hAnsi="Times New Roman" w:eastAsia="宋体" w:cs="Times New Roman"/>
          <w:b/>
          <w:bCs/>
          <w:lang w:val="en-US" w:eastAsia="zh-CN" w:bidi="ar-SA"/>
        </w:rPr>
        <w:t xml:space="preserve"> by</w:t>
      </w:r>
      <w:r>
        <w:rPr>
          <w:rFonts w:hint="eastAsia"/>
          <w:b/>
          <w:bCs/>
          <w:lang w:val="en-US" w:eastAsia="zh-CN"/>
        </w:rPr>
        <w:t xml:space="preserve"> the Inventory Response Message Size provided by the CN.</w:t>
      </w:r>
    </w:p>
    <w:p w14:paraId="0AC17C2E">
      <w:pPr>
        <w:keepNext w:val="0"/>
        <w:keepLines w:val="0"/>
        <w:pageBreakBefore w:val="0"/>
        <w:widowControl/>
        <w:kinsoku/>
        <w:wordWrap/>
        <w:overflowPunct/>
        <w:topLinePunct w:val="0"/>
        <w:autoSpaceDE/>
        <w:autoSpaceDN/>
        <w:bidi w:val="0"/>
        <w:adjustRightInd/>
        <w:snapToGrid/>
        <w:textAlignment w:val="auto"/>
        <w:outlineLvl w:val="2"/>
        <w:rPr>
          <w:b/>
          <w:bCs/>
          <w:u w:val="single"/>
        </w:rPr>
      </w:pPr>
      <w:r>
        <w:rPr>
          <w:rFonts w:hint="eastAsia"/>
          <w:b/>
          <w:bCs/>
          <w:u w:val="single"/>
          <w:lang w:val="en-US" w:eastAsia="zh-CN"/>
        </w:rPr>
        <w:t xml:space="preserve">SA2 LS about A-IoT area </w:t>
      </w:r>
    </w:p>
    <w:p w14:paraId="19DEF721">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Proposal 2, Answer to question 1: </w:t>
      </w:r>
      <w:r>
        <w:rPr>
          <w:rFonts w:hint="default"/>
          <w:b/>
          <w:bCs/>
          <w:lang w:val="en-US" w:eastAsia="zh-CN"/>
        </w:rPr>
        <w:t>“</w:t>
      </w:r>
      <w:r>
        <w:rPr>
          <w:rFonts w:hint="eastAsia"/>
          <w:b/>
          <w:bCs/>
          <w:lang w:val="en-US" w:eastAsia="zh-CN"/>
        </w:rPr>
        <w:t>Supported Area</w:t>
      </w:r>
      <w:r>
        <w:rPr>
          <w:rFonts w:hint="default"/>
          <w:b/>
          <w:bCs/>
          <w:lang w:val="en-US" w:eastAsia="zh-CN"/>
        </w:rPr>
        <w:t>”</w:t>
      </w:r>
      <w:r>
        <w:rPr>
          <w:rFonts w:hint="eastAsia"/>
          <w:b/>
          <w:bCs/>
          <w:lang w:val="en-US" w:eastAsia="zh-CN"/>
        </w:rPr>
        <w:t xml:space="preserve"> is a new type of area, and the encoding of the </w:t>
      </w:r>
      <w:r>
        <w:rPr>
          <w:rFonts w:hint="default"/>
          <w:b/>
          <w:bCs/>
          <w:lang w:val="en-US" w:eastAsia="zh-CN"/>
        </w:rPr>
        <w:t>“</w:t>
      </w:r>
      <w:r>
        <w:rPr>
          <w:rFonts w:hint="eastAsia"/>
          <w:b/>
          <w:bCs/>
          <w:lang w:val="en-US" w:eastAsia="zh-CN"/>
        </w:rPr>
        <w:t>A-IoT</w:t>
      </w:r>
      <w:r>
        <w:rPr>
          <w:rFonts w:hint="default"/>
          <w:b/>
          <w:bCs/>
          <w:lang w:val="en-US" w:eastAsia="zh-CN"/>
        </w:rPr>
        <w:t>”</w:t>
      </w:r>
      <w:r>
        <w:rPr>
          <w:rFonts w:hint="eastAsia"/>
          <w:b/>
          <w:bCs/>
          <w:lang w:val="en-US" w:eastAsia="zh-CN"/>
        </w:rPr>
        <w:t xml:space="preserve"> area is geographical area.</w:t>
      </w:r>
    </w:p>
    <w:p w14:paraId="7093386C">
      <w:pPr>
        <w:overflowPunct w:val="0"/>
        <w:autoSpaceDE w:val="0"/>
        <w:autoSpaceDN w:val="0"/>
        <w:adjustRightInd w:val="0"/>
        <w:spacing w:after="120" w:line="288" w:lineRule="auto"/>
        <w:jc w:val="both"/>
        <w:textAlignment w:val="baseline"/>
        <w:rPr>
          <w:rFonts w:hint="eastAsia"/>
          <w:lang w:val="en-US" w:eastAsia="zh-CN"/>
        </w:rPr>
      </w:pPr>
      <w:r>
        <w:rPr>
          <w:rFonts w:hint="eastAsia"/>
          <w:b/>
          <w:bCs/>
          <w:lang w:val="en-US" w:eastAsia="zh-CN"/>
        </w:rPr>
        <w:t>Observation 1, From the perspective of RAN2, it indicates that supporting interleaved service requests would introduce numerous issues, complexities, and challenges</w:t>
      </w:r>
      <w:r>
        <w:rPr>
          <w:rFonts w:hint="eastAsia"/>
          <w:lang w:val="en-US" w:eastAsia="zh-CN"/>
        </w:rPr>
        <w:t>.</w:t>
      </w:r>
    </w:p>
    <w:p w14:paraId="31152FFD">
      <w:pPr>
        <w:overflowPunct w:val="0"/>
        <w:autoSpaceDE w:val="0"/>
        <w:autoSpaceDN w:val="0"/>
        <w:adjustRightInd w:val="0"/>
        <w:spacing w:after="120" w:line="288" w:lineRule="auto"/>
        <w:jc w:val="both"/>
        <w:textAlignment w:val="baseline"/>
        <w:rPr>
          <w:rFonts w:hint="eastAsia"/>
        </w:rPr>
      </w:pPr>
      <w:r>
        <w:rPr>
          <w:rFonts w:hint="eastAsia"/>
          <w:b/>
          <w:bCs/>
          <w:lang w:val="en-US" w:eastAsia="zh-CN"/>
        </w:rPr>
        <w:t xml:space="preserve">Proposal 3, Answer to question 2: "The supported area can be </w:t>
      </w:r>
      <w:r>
        <w:rPr>
          <w:rFonts w:hint="eastAsia" w:ascii="Times New Roman" w:hAnsi="Times New Roman" w:eastAsia="宋体" w:cs="Times New Roman"/>
          <w:b/>
          <w:bCs/>
          <w:lang w:val="en-US" w:eastAsia="zh-CN" w:bidi="ar-SA"/>
        </w:rPr>
        <w:t xml:space="preserve">defined </w:t>
      </w:r>
      <w:r>
        <w:rPr>
          <w:rFonts w:hint="eastAsia"/>
          <w:b/>
          <w:bCs/>
          <w:lang w:val="en-US" w:eastAsia="zh-CN"/>
        </w:rPr>
        <w:t>per reader or per gNB. It should be noted that different gNBs or different readers have different supported areas to avoid interleaved service requests."</w:t>
      </w:r>
    </w:p>
    <w:p w14:paraId="6A58754A">
      <w:pPr>
        <w:keepNext w:val="0"/>
        <w:keepLines w:val="0"/>
        <w:pageBreakBefore w:val="0"/>
        <w:widowControl/>
        <w:kinsoku/>
        <w:wordWrap/>
        <w:overflowPunct/>
        <w:topLinePunct w:val="0"/>
        <w:autoSpaceDE/>
        <w:autoSpaceDN/>
        <w:bidi w:val="0"/>
        <w:adjustRightInd/>
        <w:snapToGrid/>
        <w:textAlignment w:val="auto"/>
        <w:outlineLvl w:val="2"/>
        <w:rPr>
          <w:rFonts w:hint="eastAsia"/>
          <w:b/>
          <w:bCs/>
          <w:u w:val="single"/>
          <w:lang w:val="en-US" w:eastAsia="zh-CN"/>
        </w:rPr>
      </w:pPr>
      <w:r>
        <w:rPr>
          <w:rFonts w:hint="eastAsia"/>
          <w:b/>
          <w:bCs/>
          <w:u w:val="single"/>
          <w:lang w:val="en-US" w:eastAsia="zh-CN"/>
        </w:rPr>
        <w:t xml:space="preserve">SA2 LS about service type </w:t>
      </w:r>
    </w:p>
    <w:p w14:paraId="3CEF640F">
      <w:pPr>
        <w:overflowPunct w:val="0"/>
        <w:autoSpaceDE w:val="0"/>
        <w:autoSpaceDN w:val="0"/>
        <w:adjustRightInd w:val="0"/>
        <w:spacing w:after="120" w:line="288" w:lineRule="auto"/>
        <w:jc w:val="both"/>
        <w:textAlignment w:val="baseline"/>
        <w:rPr>
          <w:rFonts w:hint="eastAsia"/>
          <w:b/>
          <w:bCs/>
          <w:u w:val="single"/>
          <w:lang w:val="en-US" w:eastAsia="zh-CN"/>
        </w:rPr>
      </w:pPr>
      <w:r>
        <w:rPr>
          <w:rFonts w:hint="eastAsia"/>
          <w:b/>
          <w:bCs/>
          <w:lang w:val="en-US" w:eastAsia="zh-CN"/>
        </w:rPr>
        <w:t>Proposal 4, RAN3 reply that there</w:t>
      </w:r>
      <w:r>
        <w:rPr>
          <w:rFonts w:hint="default"/>
          <w:b/>
          <w:bCs/>
          <w:lang w:val="en-US" w:eastAsia="zh-CN"/>
        </w:rPr>
        <w:t>’</w:t>
      </w:r>
      <w:r>
        <w:rPr>
          <w:rFonts w:hint="eastAsia"/>
          <w:b/>
          <w:bCs/>
          <w:lang w:val="en-US" w:eastAsia="zh-CN"/>
        </w:rPr>
        <w:t xml:space="preserve">s no concerns to remove the </w:t>
      </w:r>
      <w:r>
        <w:rPr>
          <w:rFonts w:hint="default"/>
          <w:b/>
          <w:bCs/>
          <w:lang w:val="en-US" w:eastAsia="zh-CN"/>
        </w:rPr>
        <w:t>“</w:t>
      </w:r>
      <w:r>
        <w:rPr>
          <w:rFonts w:hint="eastAsia"/>
          <w:b/>
          <w:bCs/>
          <w:lang w:val="en-US" w:eastAsia="zh-CN"/>
        </w:rPr>
        <w:t>service type</w:t>
      </w:r>
      <w:r>
        <w:rPr>
          <w:rFonts w:hint="default"/>
          <w:b/>
          <w:bCs/>
          <w:lang w:val="en-US" w:eastAsia="zh-CN"/>
        </w:rPr>
        <w:t>”</w:t>
      </w:r>
      <w:r>
        <w:rPr>
          <w:rFonts w:hint="eastAsia"/>
          <w:b/>
          <w:bCs/>
          <w:lang w:val="en-US" w:eastAsia="zh-CN"/>
        </w:rPr>
        <w:t xml:space="preserve"> as RAN3 agrees to introduce </w:t>
      </w:r>
      <w:r>
        <w:rPr>
          <w:rFonts w:hint="default"/>
          <w:b/>
          <w:bCs/>
          <w:lang w:val="en-US" w:eastAsia="zh-CN"/>
        </w:rPr>
        <w:t>“</w:t>
      </w:r>
      <w:r>
        <w:rPr>
          <w:rFonts w:hint="eastAsia"/>
          <w:b/>
          <w:bCs/>
          <w:lang w:val="en-US" w:eastAsia="zh-CN"/>
        </w:rPr>
        <w:t>follow-on command</w:t>
      </w:r>
      <w:r>
        <w:rPr>
          <w:rFonts w:hint="default"/>
          <w:b/>
          <w:bCs/>
          <w:lang w:val="en-US" w:eastAsia="zh-CN"/>
        </w:rPr>
        <w:t>”</w:t>
      </w:r>
      <w:r>
        <w:rPr>
          <w:rFonts w:hint="eastAsia"/>
          <w:b/>
          <w:bCs/>
          <w:lang w:val="en-US" w:eastAsia="zh-CN"/>
        </w:rPr>
        <w:t xml:space="preserve"> indication in the inventory request which can be used to indicate the service type.</w:t>
      </w:r>
    </w:p>
    <w:p w14:paraId="7595D1D8">
      <w:pPr>
        <w:pStyle w:val="2"/>
      </w:pPr>
      <w:r>
        <w:rPr>
          <w:rFonts w:hint="eastAsia"/>
          <w:lang w:val="en-US" w:eastAsia="zh-CN"/>
        </w:rPr>
        <w:t>6</w:t>
      </w:r>
      <w:r>
        <w:tab/>
      </w:r>
      <w:r>
        <w:t>Reference</w:t>
      </w:r>
    </w:p>
    <w:p w14:paraId="38086085">
      <w:pPr>
        <w:rPr>
          <w:rFonts w:hint="default"/>
          <w:lang w:val="en-US" w:eastAsia="zh-CN"/>
        </w:rPr>
      </w:pPr>
      <w:r>
        <w:t>[1]</w:t>
      </w:r>
      <w:r>
        <w:tab/>
      </w:r>
      <w:r>
        <w:rPr>
          <w:rFonts w:hint="eastAsia"/>
          <w:lang w:val="en-US" w:eastAsia="zh-CN"/>
        </w:rPr>
        <w:t xml:space="preserve">R3-253031/R2-2503199, </w:t>
      </w:r>
      <w:r>
        <w:rPr>
          <w:rFonts w:hint="default"/>
          <w:lang w:val="en-US" w:eastAsia="zh-CN"/>
        </w:rPr>
        <w:t>LS on D2R message size for inventory response</w:t>
      </w:r>
      <w:r>
        <w:rPr>
          <w:rFonts w:hint="eastAsia"/>
          <w:lang w:val="en-US" w:eastAsia="zh-CN"/>
        </w:rPr>
        <w:t>, RAN2</w:t>
      </w:r>
    </w:p>
    <w:p w14:paraId="415A7E1C">
      <w:pPr>
        <w:rPr>
          <w:rFonts w:hint="default"/>
          <w:lang w:val="en-US" w:eastAsia="zh-CN"/>
        </w:rPr>
      </w:pPr>
      <w:r>
        <w:rPr>
          <w:rFonts w:hint="eastAsia"/>
          <w:lang w:val="en-US" w:eastAsia="zh-CN"/>
        </w:rPr>
        <w:t>[2] R3-253374, (TP for 38.413) General aspects on support of AIoT, Xiaomi</w:t>
      </w:r>
    </w:p>
    <w:p w14:paraId="4302915A">
      <w:pPr>
        <w:rPr>
          <w:rFonts w:hint="default"/>
          <w:lang w:val="en-US" w:eastAsia="zh-CN"/>
        </w:rPr>
      </w:pPr>
      <w:r>
        <w:rPr>
          <w:rFonts w:hint="eastAsia"/>
          <w:lang w:val="en-US" w:eastAsia="zh-CN"/>
        </w:rPr>
        <w:t>[3]</w:t>
      </w:r>
      <w:r>
        <w:rPr>
          <w:rFonts w:hint="eastAsia"/>
        </w:rPr>
        <w:t>R3-253015 (S2-2504288)</w:t>
      </w:r>
      <w:r>
        <w:rPr>
          <w:rFonts w:hint="eastAsia"/>
          <w:lang w:val="en-US" w:eastAsia="zh-CN"/>
        </w:rPr>
        <w:t>,</w:t>
      </w:r>
      <w:r>
        <w:rPr>
          <w:rFonts w:hint="eastAsia"/>
        </w:rPr>
        <w:t xml:space="preserve"> LS Reply on Ambient IoT progress of RAN3</w:t>
      </w:r>
      <w:r>
        <w:rPr>
          <w:rFonts w:hint="eastAsia"/>
          <w:lang w:val="en-US" w:eastAsia="zh-CN"/>
        </w:rPr>
        <w:t>, SA2</w:t>
      </w:r>
    </w:p>
    <w:p w14:paraId="5EC269E4">
      <w:pPr>
        <w:rPr>
          <w:rFonts w:hint="default"/>
          <w:lang w:val="en-US"/>
        </w:rPr>
      </w:pPr>
      <w:r>
        <w:rPr>
          <w:rFonts w:hint="eastAsia"/>
          <w:lang w:val="en-US" w:eastAsia="zh-CN"/>
        </w:rPr>
        <w:t>[4] R2-2503480, Device behavior for parallel service requests, Xiaomi, Huawei, CMCC, Spreadtrum, CATT, Apple, China Telecom, Transsion Holdings, vivo, InterDigital, Philips International B.V., Qualcomm Incorporated</w:t>
      </w:r>
    </w:p>
    <w:p w14:paraId="4300398E">
      <w:pPr>
        <w:rPr>
          <w:rFonts w:hint="eastAsia"/>
        </w:rPr>
      </w:pPr>
      <w:r>
        <w:rPr>
          <w:rFonts w:hint="eastAsia"/>
          <w:lang w:val="en-US" w:eastAsia="zh-CN"/>
        </w:rPr>
        <w:t>[5] R3-253016/S2-2504294 , LS on the removal of service type information, SA2</w:t>
      </w:r>
    </w:p>
    <w:p w14:paraId="27319CC8">
      <w:pPr>
        <w:pStyle w:val="2"/>
        <w:rPr>
          <w:rFonts w:hint="default" w:eastAsia="宋体"/>
          <w:lang w:val="en-US" w:eastAsia="zh-CN"/>
        </w:rPr>
      </w:pPr>
      <w:r>
        <w:rPr>
          <w:rFonts w:hint="eastAsia"/>
          <w:lang w:val="en-US" w:eastAsia="zh-CN"/>
        </w:rPr>
        <w:t>7</w:t>
      </w:r>
      <w:r>
        <w:tab/>
      </w:r>
      <w:r>
        <w:rPr>
          <w:rFonts w:hint="eastAsia"/>
          <w:lang w:val="en-US" w:eastAsia="zh-CN"/>
        </w:rPr>
        <w:t>Annex A (Reply to RAN2 )</w:t>
      </w:r>
    </w:p>
    <w:p w14:paraId="4FEA01F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LS Reply on LS on D2R message size for inventory response</w:t>
      </w:r>
    </w:p>
    <w:p w14:paraId="175020F5">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R3-253031/R2-2503199</w:t>
      </w:r>
    </w:p>
    <w:bookmarkEnd w:id="0"/>
    <w:bookmarkEnd w:id="1"/>
    <w:p w14:paraId="17D68B5E">
      <w:pPr>
        <w:spacing w:after="60"/>
        <w:ind w:left="1985" w:hanging="1985"/>
        <w:rPr>
          <w:rFonts w:ascii="Arial" w:hAnsi="Arial" w:cs="Arial"/>
          <w:b/>
          <w:bCs/>
          <w:sz w:val="22"/>
          <w:szCs w:val="22"/>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bookmarkEnd w:id="2"/>
    <w:bookmarkEnd w:id="3"/>
    <w:bookmarkEnd w:id="4"/>
    <w:p w14:paraId="3755265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Ambient_IoT_solutions</w:t>
      </w:r>
    </w:p>
    <w:p w14:paraId="667BF67A">
      <w:pPr>
        <w:spacing w:after="60"/>
        <w:ind w:left="1985" w:hanging="1985"/>
        <w:rPr>
          <w:rFonts w:ascii="Arial" w:hAnsi="Arial" w:cs="Arial"/>
          <w:b/>
          <w:sz w:val="22"/>
          <w:szCs w:val="22"/>
        </w:rPr>
      </w:pPr>
    </w:p>
    <w:p w14:paraId="148CAC4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0AE77DBA">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w:t>
      </w:r>
      <w:r>
        <w:rPr>
          <w:rFonts w:hint="eastAsia" w:ascii="Arial" w:hAnsi="Arial" w:cs="Arial"/>
          <w:sz w:val="22"/>
          <w:szCs w:val="22"/>
          <w:lang w:val="en-US" w:eastAsia="zh-CN"/>
        </w:rPr>
        <w:t>, SA2</w:t>
      </w:r>
    </w:p>
    <w:p w14:paraId="04563A5C">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74A8D91F">
      <w:pPr>
        <w:spacing w:after="60"/>
        <w:ind w:left="1985" w:hanging="1985"/>
        <w:rPr>
          <w:rFonts w:ascii="Arial" w:hAnsi="Arial" w:cs="Arial"/>
          <w:bCs/>
        </w:rPr>
      </w:pPr>
    </w:p>
    <w:p w14:paraId="0E4EBE72">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05B6CE13">
      <w:pPr>
        <w:spacing w:after="60"/>
        <w:ind w:left="1265" w:firstLine="720"/>
        <w:rPr>
          <w:rFonts w:ascii="Arial" w:hAnsi="Arial" w:cs="Arial"/>
          <w:sz w:val="22"/>
          <w:szCs w:val="22"/>
        </w:rPr>
      </w:pPr>
      <w:r>
        <w:rPr>
          <w:rFonts w:ascii="Arial" w:hAnsi="Arial" w:cs="Arial"/>
          <w:sz w:val="22"/>
          <w:szCs w:val="22"/>
        </w:rPr>
        <w:t xml:space="preserve">lilisi@xiaomi.com </w:t>
      </w:r>
    </w:p>
    <w:p w14:paraId="55E8AA05">
      <w:pPr>
        <w:spacing w:after="60"/>
        <w:rPr>
          <w:rFonts w:ascii="Arial" w:hAnsi="Arial" w:cs="Arial"/>
          <w:sz w:val="22"/>
          <w:szCs w:val="22"/>
        </w:rPr>
      </w:pPr>
    </w:p>
    <w:p w14:paraId="3574B689">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576AD6F2">
      <w:pPr>
        <w:spacing w:after="60"/>
        <w:ind w:left="1985" w:hanging="1985"/>
        <w:rPr>
          <w:rFonts w:ascii="Arial" w:hAnsi="Arial" w:cs="Arial"/>
          <w:b/>
        </w:rPr>
      </w:pPr>
    </w:p>
    <w:p w14:paraId="32FFC126">
      <w:pPr>
        <w:spacing w:after="60"/>
        <w:ind w:left="1985" w:hanging="1985"/>
        <w:rPr>
          <w:rFonts w:ascii="Arial" w:hAnsi="Arial" w:cs="Arial"/>
          <w:bCs/>
        </w:rPr>
      </w:pPr>
      <w:r>
        <w:rPr>
          <w:rFonts w:ascii="Arial" w:hAnsi="Arial" w:cs="Arial"/>
          <w:b/>
        </w:rPr>
        <w:t>Attachments:</w:t>
      </w:r>
      <w:r>
        <w:rPr>
          <w:rFonts w:ascii="Arial" w:hAnsi="Arial" w:cs="Arial"/>
          <w:bCs/>
        </w:rPr>
        <w:tab/>
      </w:r>
    </w:p>
    <w:p w14:paraId="5136FDFC">
      <w:pPr>
        <w:rPr>
          <w:rFonts w:ascii="Arial" w:hAnsi="Arial" w:cs="Arial"/>
        </w:rPr>
      </w:pPr>
    </w:p>
    <w:p w14:paraId="5424F34E">
      <w:pPr>
        <w:pStyle w:val="2"/>
      </w:pPr>
      <w:r>
        <w:t>1</w:t>
      </w:r>
      <w:r>
        <w:tab/>
      </w:r>
      <w:r>
        <w:t>Overall description</w:t>
      </w:r>
    </w:p>
    <w:p w14:paraId="4992FF51">
      <w:pPr>
        <w:rPr>
          <w:rFonts w:hint="eastAsia" w:ascii="Arial" w:hAnsi="Arial" w:eastAsia="宋体" w:cs="Arial"/>
          <w:bCs/>
          <w:sz w:val="22"/>
          <w:szCs w:val="22"/>
          <w:lang w:val="en-US" w:eastAsia="zh-CN"/>
        </w:rPr>
      </w:pPr>
      <w:r>
        <w:rPr>
          <w:rFonts w:ascii="Arial" w:hAnsi="Arial" w:cs="Arial"/>
        </w:rPr>
        <w:t xml:space="preserve">RAN3 thanks RAN2 </w:t>
      </w:r>
      <w:r>
        <w:rPr>
          <w:rFonts w:hint="eastAsia" w:ascii="Arial" w:hAnsi="Arial" w:cs="Arial"/>
        </w:rPr>
        <w:t>LS on D2R message size for inventory response</w:t>
      </w:r>
      <w:r>
        <w:rPr>
          <w:rFonts w:hint="eastAsia" w:ascii="Arial" w:hAnsi="Arial" w:cs="Arial"/>
          <w:lang w:val="en-US" w:eastAsia="zh-CN"/>
        </w:rPr>
        <w:t>.</w:t>
      </w:r>
    </w:p>
    <w:p w14:paraId="523D51CC">
      <w:pPr>
        <w:rPr>
          <w:rFonts w:hint="default" w:ascii="Arial" w:hAnsi="Arial" w:cs="Arial"/>
          <w:lang w:val="en-US" w:eastAsia="zh-CN"/>
        </w:rPr>
      </w:pPr>
      <w:r>
        <w:rPr>
          <w:rFonts w:hint="eastAsia" w:ascii="Arial" w:hAnsi="Arial" w:cs="Arial"/>
          <w:lang w:val="en-US" w:eastAsia="zh-CN"/>
        </w:rPr>
        <w:t>RAN3 understand that the inventory response message size is determined by the Device ID length.</w:t>
      </w:r>
    </w:p>
    <w:p w14:paraId="15B13D65">
      <w:pPr>
        <w:rPr>
          <w:rFonts w:hint="eastAsia" w:ascii="Arial" w:hAnsi="Arial" w:cs="Arial"/>
          <w:lang w:val="en-US" w:eastAsia="zh-CN"/>
        </w:rPr>
      </w:pPr>
      <w:r>
        <w:rPr>
          <w:rFonts w:hint="eastAsia" w:ascii="Arial" w:hAnsi="Arial" w:cs="Arial"/>
          <w:lang w:val="en-US" w:eastAsia="zh-CN"/>
        </w:rPr>
        <w:t>In case of single device identification, the inventory response size can be determined by knowing the size of the device ID in the inventory request.</w:t>
      </w:r>
    </w:p>
    <w:p w14:paraId="415D2D3A">
      <w:pPr>
        <w:rPr>
          <w:rFonts w:hint="eastAsia" w:ascii="Arial" w:hAnsi="Arial" w:cs="Arial"/>
          <w:lang w:val="en-US" w:eastAsia="zh-CN"/>
        </w:rPr>
      </w:pPr>
      <w:r>
        <w:rPr>
          <w:rFonts w:hint="eastAsia" w:ascii="Arial" w:hAnsi="Arial" w:cs="Arial"/>
          <w:lang w:val="en-US" w:eastAsia="zh-CN"/>
        </w:rPr>
        <w:t>In the case of filtering information, the inventory response size can be determined either by the gNB reading the filter information with appropriate OAM configuration or by the Inventory Response Message Size provided by the CN.</w:t>
      </w:r>
    </w:p>
    <w:p w14:paraId="565D8C06">
      <w:pPr>
        <w:pStyle w:val="2"/>
      </w:pPr>
      <w:r>
        <w:t>2</w:t>
      </w:r>
      <w:r>
        <w:tab/>
      </w:r>
      <w:r>
        <w:t>Actions</w:t>
      </w:r>
    </w:p>
    <w:p w14:paraId="5A562E94">
      <w:pPr>
        <w:spacing w:after="120"/>
        <w:ind w:left="1985" w:hanging="1985"/>
        <w:rPr>
          <w:rFonts w:hint="default" w:ascii="Arial" w:hAnsi="Arial" w:eastAsia="宋体" w:cs="Arial"/>
          <w:b/>
          <w:lang w:val="en-US" w:eastAsia="zh-CN"/>
        </w:rPr>
      </w:pPr>
      <w:r>
        <w:rPr>
          <w:rFonts w:ascii="Arial" w:hAnsi="Arial" w:cs="Arial"/>
          <w:b/>
        </w:rPr>
        <w:t>To RAN2</w:t>
      </w:r>
      <w:r>
        <w:rPr>
          <w:rFonts w:hint="eastAsia" w:ascii="Arial" w:hAnsi="Arial" w:cs="Arial"/>
          <w:b/>
          <w:lang w:val="en-US" w:eastAsia="zh-CN"/>
        </w:rPr>
        <w:t>, SA2</w:t>
      </w:r>
    </w:p>
    <w:p w14:paraId="2405F6EF">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 xml:space="preserve">RAN3 respectfully requests RAN2 </w:t>
      </w:r>
      <w:r>
        <w:rPr>
          <w:rFonts w:hint="eastAsia" w:ascii="Arial" w:hAnsi="Arial" w:cs="Arial"/>
          <w:lang w:val="en-US" w:eastAsia="zh-CN"/>
        </w:rPr>
        <w:t xml:space="preserve">and SA2 </w:t>
      </w:r>
      <w:r>
        <w:rPr>
          <w:rFonts w:ascii="Arial" w:hAnsi="Arial" w:cs="Arial"/>
        </w:rPr>
        <w:t>to take above replies into account in future discussion.</w:t>
      </w:r>
    </w:p>
    <w:p w14:paraId="6C3D628C">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734FDE5C">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w:t>
      </w:r>
      <w:r>
        <w:rPr>
          <w:rFonts w:ascii="Arial" w:hAnsi="Arial" w:eastAsia="Yu Mincho" w:cs="Arial"/>
          <w:bCs/>
        </w:rPr>
        <w:tab/>
      </w:r>
      <w:r>
        <w:rPr>
          <w:rFonts w:hint="eastAsia" w:ascii="Arial" w:hAnsi="Arial" w:cs="Arial"/>
          <w:bCs/>
          <w:lang w:val="en-US" w:eastAsia="zh-CN"/>
        </w:rPr>
        <w:t>25</w:t>
      </w:r>
      <w:r>
        <w:rPr>
          <w:rFonts w:ascii="Arial" w:hAnsi="Arial" w:eastAsia="Yu Mincho" w:cs="Arial"/>
          <w:bCs/>
        </w:rPr>
        <w:t>-2</w:t>
      </w:r>
      <w:r>
        <w:rPr>
          <w:rFonts w:hint="eastAsia" w:ascii="Arial" w:hAnsi="Arial" w:cs="Arial"/>
          <w:bCs/>
          <w:lang w:val="en-US" w:eastAsia="zh-CN"/>
        </w:rPr>
        <w:t>8</w:t>
      </w:r>
      <w:r>
        <w:rPr>
          <w:rFonts w:ascii="Arial" w:hAnsi="Arial" w:eastAsia="Yu Mincho" w:cs="Arial"/>
          <w:bCs/>
        </w:rPr>
        <w:t xml:space="preserve"> </w:t>
      </w:r>
      <w:r>
        <w:rPr>
          <w:rFonts w:hint="eastAsia" w:ascii="Arial" w:hAnsi="Arial" w:cs="Arial"/>
          <w:bCs/>
          <w:lang w:val="en-US" w:eastAsia="zh-CN"/>
        </w:rPr>
        <w:t xml:space="preserve">Aug </w:t>
      </w:r>
      <w:r>
        <w:rPr>
          <w:rFonts w:ascii="Arial" w:hAnsi="Arial" w:eastAsia="Yu Mincho" w:cs="Arial"/>
          <w:bCs/>
        </w:rPr>
        <w:t>202</w:t>
      </w:r>
      <w:r>
        <w:rPr>
          <w:rFonts w:hint="eastAsia" w:ascii="Arial" w:hAnsi="Arial" w:cs="Arial"/>
          <w:bCs/>
          <w:lang w:val="en-US" w:eastAsia="zh-CN"/>
        </w:rPr>
        <w:t>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Bangalore, IN</w:t>
      </w:r>
    </w:p>
    <w:p w14:paraId="786E2069">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bookmarkStart w:id="7" w:name="_GoBack"/>
      <w:bookmarkEnd w:id="7"/>
      <w:r>
        <w:rPr>
          <w:rFonts w:hint="eastAsia" w:ascii="Arial" w:hAnsi="Arial" w:eastAsia="Yu Mincho" w:cs="Arial"/>
          <w:bCs/>
        </w:rPr>
        <w:t>Prague, CZ</w:t>
      </w:r>
    </w:p>
    <w:p w14:paraId="678901A4">
      <w:pPr>
        <w:pStyle w:val="2"/>
        <w:rPr>
          <w:rFonts w:hint="default" w:eastAsia="宋体"/>
          <w:lang w:val="en-US" w:eastAsia="zh-CN"/>
        </w:rPr>
      </w:pPr>
      <w:r>
        <w:rPr>
          <w:rFonts w:hint="eastAsia"/>
          <w:lang w:val="en-US" w:eastAsia="zh-CN"/>
        </w:rPr>
        <w:t>8</w:t>
      </w:r>
      <w:r>
        <w:tab/>
      </w:r>
      <w:r>
        <w:rPr>
          <w:rFonts w:hint="eastAsia"/>
          <w:lang w:val="en-US" w:eastAsia="zh-CN"/>
        </w:rPr>
        <w:t>Annex B (Reply to SA2 on A-IoT area )</w:t>
      </w:r>
    </w:p>
    <w:p w14:paraId="072AB1F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LS Reply on Ambient IoT progress of RAN3</w:t>
      </w:r>
    </w:p>
    <w:p w14:paraId="0595BFEB">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R3-253015 (S2-2504288)</w:t>
      </w:r>
    </w:p>
    <w:p w14:paraId="1C1EB7E3">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p w14:paraId="75D80BD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Ambient_IoT_solutions</w:t>
      </w:r>
    </w:p>
    <w:p w14:paraId="27FB7787">
      <w:pPr>
        <w:spacing w:after="60"/>
        <w:ind w:left="1985" w:hanging="1985"/>
        <w:rPr>
          <w:rFonts w:ascii="Arial" w:hAnsi="Arial" w:cs="Arial"/>
          <w:b/>
          <w:sz w:val="22"/>
          <w:szCs w:val="22"/>
        </w:rPr>
      </w:pPr>
    </w:p>
    <w:p w14:paraId="1032BE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1A7BEB2A">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sz w:val="22"/>
          <w:szCs w:val="22"/>
          <w:lang w:val="en-US" w:eastAsia="zh-CN"/>
        </w:rPr>
        <w:t>SA2</w:t>
      </w:r>
    </w:p>
    <w:p w14:paraId="032382A5">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Cc:</w:t>
      </w:r>
      <w:r>
        <w:rPr>
          <w:rFonts w:ascii="Arial" w:hAnsi="Arial" w:cs="Arial"/>
          <w:b/>
          <w:bCs/>
          <w:sz w:val="22"/>
          <w:szCs w:val="22"/>
        </w:rPr>
        <w:tab/>
      </w:r>
      <w:r>
        <w:rPr>
          <w:rFonts w:hint="eastAsia" w:ascii="Arial" w:hAnsi="Arial" w:cs="Arial"/>
          <w:b w:val="0"/>
          <w:bCs w:val="0"/>
          <w:sz w:val="22"/>
          <w:szCs w:val="22"/>
          <w:lang w:val="en-US" w:eastAsia="zh-CN"/>
        </w:rPr>
        <w:t>RAN2</w:t>
      </w:r>
    </w:p>
    <w:p w14:paraId="38E7E588">
      <w:pPr>
        <w:spacing w:after="60"/>
        <w:ind w:left="1985" w:hanging="1985"/>
        <w:rPr>
          <w:rFonts w:ascii="Arial" w:hAnsi="Arial" w:cs="Arial"/>
          <w:bCs/>
        </w:rPr>
      </w:pPr>
    </w:p>
    <w:p w14:paraId="42A09883">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1A67E926">
      <w:pPr>
        <w:spacing w:after="60"/>
        <w:ind w:left="1265" w:firstLine="720"/>
        <w:rPr>
          <w:rFonts w:ascii="Arial" w:hAnsi="Arial" w:cs="Arial"/>
          <w:sz w:val="22"/>
          <w:szCs w:val="22"/>
        </w:rPr>
      </w:pPr>
      <w:r>
        <w:rPr>
          <w:rFonts w:ascii="Arial" w:hAnsi="Arial" w:cs="Arial"/>
          <w:sz w:val="22"/>
          <w:szCs w:val="22"/>
        </w:rPr>
        <w:t xml:space="preserve">lilisi@xiaomi.com </w:t>
      </w:r>
    </w:p>
    <w:p w14:paraId="7186CF65">
      <w:pPr>
        <w:spacing w:after="60"/>
        <w:rPr>
          <w:rFonts w:ascii="Arial" w:hAnsi="Arial" w:cs="Arial"/>
          <w:sz w:val="22"/>
          <w:szCs w:val="22"/>
        </w:rPr>
      </w:pPr>
    </w:p>
    <w:p w14:paraId="0BFC2E83">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3A56CA9F">
      <w:pPr>
        <w:spacing w:after="60"/>
        <w:ind w:left="1985" w:hanging="1985"/>
        <w:rPr>
          <w:rFonts w:ascii="Arial" w:hAnsi="Arial" w:cs="Arial"/>
          <w:b/>
        </w:rPr>
      </w:pPr>
    </w:p>
    <w:p w14:paraId="55079C9A">
      <w:pPr>
        <w:spacing w:after="60"/>
        <w:ind w:left="1985" w:hanging="1985"/>
        <w:rPr>
          <w:rFonts w:ascii="Arial" w:hAnsi="Arial" w:cs="Arial"/>
          <w:bCs/>
        </w:rPr>
      </w:pPr>
      <w:r>
        <w:rPr>
          <w:rFonts w:ascii="Arial" w:hAnsi="Arial" w:cs="Arial"/>
          <w:b/>
        </w:rPr>
        <w:t>Attachments:</w:t>
      </w:r>
      <w:r>
        <w:rPr>
          <w:rFonts w:ascii="Arial" w:hAnsi="Arial" w:cs="Arial"/>
          <w:bCs/>
        </w:rPr>
        <w:tab/>
      </w:r>
    </w:p>
    <w:p w14:paraId="34745307">
      <w:pPr>
        <w:rPr>
          <w:rFonts w:ascii="Arial" w:hAnsi="Arial" w:cs="Arial"/>
        </w:rPr>
      </w:pPr>
    </w:p>
    <w:p w14:paraId="6C125F19">
      <w:pPr>
        <w:pStyle w:val="2"/>
      </w:pPr>
      <w:r>
        <w:t>1</w:t>
      </w:r>
      <w:r>
        <w:tab/>
      </w:r>
      <w:r>
        <w:t>Overall description</w:t>
      </w:r>
    </w:p>
    <w:p w14:paraId="49D1CB8E">
      <w:pPr>
        <w:rPr>
          <w:rFonts w:ascii="Arial" w:hAnsi="Arial" w:cs="Arial"/>
          <w:sz w:val="20"/>
          <w:szCs w:val="21"/>
          <w:lang w:eastAsia="zh-CN"/>
        </w:rPr>
      </w:pPr>
      <w:r>
        <w:rPr>
          <w:rFonts w:ascii="Arial" w:hAnsi="Arial" w:cs="Arial"/>
        </w:rPr>
        <w:t xml:space="preserve">RAN3 thanks </w:t>
      </w:r>
      <w:r>
        <w:rPr>
          <w:rFonts w:hint="eastAsia" w:ascii="Arial" w:hAnsi="Arial" w:cs="Arial"/>
          <w:lang w:val="en-US" w:eastAsia="zh-CN"/>
        </w:rPr>
        <w:t xml:space="preserve">SA2 </w:t>
      </w:r>
      <w:r>
        <w:rPr>
          <w:rFonts w:hint="eastAsia" w:ascii="Arial" w:hAnsi="Arial" w:cs="Arial"/>
        </w:rPr>
        <w:t>LS on Ambient IoT progress of RAN3</w:t>
      </w:r>
      <w:r>
        <w:rPr>
          <w:rFonts w:hint="eastAsia" w:ascii="Arial" w:hAnsi="Arial" w:cs="Arial"/>
          <w:lang w:val="en-US" w:eastAsia="zh-CN"/>
        </w:rPr>
        <w:t xml:space="preserve"> and provides the following answers to the questions.</w:t>
      </w:r>
    </w:p>
    <w:p w14:paraId="58B699D7">
      <w:pPr>
        <w:rPr>
          <w:rFonts w:ascii="Arial" w:hAnsi="Arial" w:cs="Arial"/>
          <w:lang w:eastAsia="zh-CN"/>
        </w:rPr>
      </w:pPr>
      <w:r>
        <w:rPr>
          <w:rFonts w:hint="eastAsia" w:ascii="Arial" w:hAnsi="Arial" w:cs="Arial"/>
          <w:b/>
          <w:bCs/>
          <w:lang w:val="en-US" w:eastAsia="zh-CN"/>
        </w:rPr>
        <w:t>Question 1</w:t>
      </w:r>
      <w:r>
        <w:rPr>
          <w:rFonts w:hint="eastAsia" w:ascii="Arial" w:hAnsi="Arial" w:cs="Arial"/>
          <w:lang w:val="en-US" w:eastAsia="zh-CN"/>
        </w:rPr>
        <w:t xml:space="preserve">, </w:t>
      </w:r>
      <w:r>
        <w:rPr>
          <w:rFonts w:ascii="Arial" w:hAnsi="Arial" w:cs="Arial"/>
          <w:lang w:eastAsia="zh-CN"/>
        </w:rPr>
        <w:t xml:space="preserve">SA2 would ask whether </w:t>
      </w:r>
      <w:r>
        <w:rPr>
          <w:rFonts w:hint="eastAsia" w:ascii="Arial" w:hAnsi="Arial" w:cs="Arial"/>
          <w:lang w:eastAsia="zh-CN"/>
        </w:rPr>
        <w:t>the</w:t>
      </w:r>
      <w:r>
        <w:rPr>
          <w:rFonts w:ascii="Arial" w:hAnsi="Arial" w:cs="Arial"/>
          <w:lang w:eastAsia="zh-CN"/>
        </w:rPr>
        <w:t xml:space="preserve"> ‘supported Area’ is Tracking Area or a new type of area.</w:t>
      </w:r>
    </w:p>
    <w:p w14:paraId="16EA4A18">
      <w:pPr>
        <w:rPr>
          <w:rFonts w:hint="default" w:ascii="Arial" w:hAnsi="Arial" w:cs="Arial"/>
          <w:b w:val="0"/>
          <w:bCs w:val="0"/>
          <w:lang w:val="en-US" w:eastAsia="zh-CN"/>
        </w:rPr>
      </w:pPr>
      <w:r>
        <w:rPr>
          <w:rFonts w:hint="eastAsia" w:ascii="Arial" w:hAnsi="Arial" w:cs="Arial"/>
          <w:b/>
          <w:bCs/>
          <w:lang w:val="en-US" w:eastAsia="zh-CN"/>
        </w:rPr>
        <w:t xml:space="preserve">RAN3 reply: </w:t>
      </w:r>
      <w:r>
        <w:rPr>
          <w:rFonts w:hint="default" w:ascii="Arial" w:hAnsi="Arial" w:cs="Arial"/>
          <w:b w:val="0"/>
          <w:bCs w:val="0"/>
          <w:lang w:val="en-US" w:eastAsia="zh-CN"/>
        </w:rPr>
        <w:t>“Supported Area” is a new type of area, and the encoding of the “A-IoT” area is geographical area.</w:t>
      </w:r>
    </w:p>
    <w:p w14:paraId="75181DDD">
      <w:pPr>
        <w:rPr>
          <w:rFonts w:ascii="Arial" w:hAnsi="Arial" w:cs="Arial"/>
          <w:lang w:eastAsia="zh-CN"/>
        </w:rPr>
      </w:pPr>
      <w:r>
        <w:rPr>
          <w:rFonts w:hint="eastAsia" w:ascii="Arial" w:hAnsi="Arial" w:cs="Arial"/>
          <w:b/>
          <w:bCs/>
          <w:lang w:val="en-US" w:eastAsia="zh-CN"/>
        </w:rPr>
        <w:t>Question 2</w:t>
      </w:r>
      <w:r>
        <w:rPr>
          <w:rFonts w:hint="eastAsia" w:ascii="Arial" w:hAnsi="Arial" w:cs="Arial"/>
          <w:lang w:val="en-US" w:eastAsia="zh-CN"/>
        </w:rPr>
        <w:t xml:space="preserve">, </w:t>
      </w:r>
      <w:r>
        <w:rPr>
          <w:rFonts w:ascii="Arial" w:hAnsi="Arial" w:cs="Arial"/>
          <w:lang w:eastAsia="zh-CN"/>
        </w:rPr>
        <w:t>SA2 would like to ask whether one reader is only part of one supported Area or can be part of multiple supported Areas.</w:t>
      </w:r>
    </w:p>
    <w:p w14:paraId="5128D4BF">
      <w:pPr>
        <w:rPr>
          <w:rFonts w:hint="default" w:ascii="Arial" w:hAnsi="Arial" w:cs="Arial"/>
          <w:b w:val="0"/>
          <w:bCs w:val="0"/>
          <w:lang w:val="en-US" w:eastAsia="zh-CN"/>
        </w:rPr>
      </w:pPr>
      <w:r>
        <w:rPr>
          <w:rFonts w:hint="eastAsia" w:ascii="Arial" w:hAnsi="Arial" w:cs="Arial"/>
          <w:b/>
          <w:bCs/>
          <w:lang w:val="en-US" w:eastAsia="zh-CN"/>
        </w:rPr>
        <w:t>RAN3 reply:</w:t>
      </w:r>
      <w:r>
        <w:rPr>
          <w:rFonts w:hint="default" w:ascii="Arial" w:hAnsi="Arial" w:cs="Arial"/>
          <w:b w:val="0"/>
          <w:bCs w:val="0"/>
          <w:lang w:val="en-US" w:eastAsia="zh-CN"/>
        </w:rPr>
        <w:t>The supported area can be defined per reader or per gNB. It should be noted that different gNBs or different readers have different supported areas to avoid interleaved service requests.</w:t>
      </w:r>
    </w:p>
    <w:p w14:paraId="453FAC29">
      <w:pPr>
        <w:pStyle w:val="2"/>
      </w:pPr>
      <w:r>
        <w:t>2</w:t>
      </w:r>
      <w:r>
        <w:tab/>
      </w:r>
      <w:r>
        <w:t>Actions</w:t>
      </w:r>
    </w:p>
    <w:p w14:paraId="5B39153F">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cs="Arial"/>
          <w:b/>
          <w:lang w:val="en-US" w:eastAsia="zh-CN"/>
        </w:rPr>
        <w:t>SA2</w:t>
      </w:r>
    </w:p>
    <w:p w14:paraId="20F64373">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 xml:space="preserve">RAN3 respectfully requests </w:t>
      </w:r>
      <w:r>
        <w:rPr>
          <w:rFonts w:hint="eastAsia" w:ascii="Arial" w:hAnsi="Arial" w:cs="Arial"/>
          <w:lang w:val="en-US" w:eastAsia="zh-CN"/>
        </w:rPr>
        <w:t xml:space="preserve">SA2 </w:t>
      </w:r>
      <w:r>
        <w:rPr>
          <w:rFonts w:ascii="Arial" w:hAnsi="Arial" w:cs="Arial"/>
        </w:rPr>
        <w:t>to take above replies into account in future discussion.</w:t>
      </w:r>
    </w:p>
    <w:p w14:paraId="7F4B2889">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37D6D17D">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w:t>
      </w:r>
      <w:r>
        <w:rPr>
          <w:rFonts w:ascii="Arial" w:hAnsi="Arial" w:eastAsia="Yu Mincho" w:cs="Arial"/>
          <w:bCs/>
        </w:rPr>
        <w:tab/>
      </w:r>
      <w:r>
        <w:rPr>
          <w:rFonts w:hint="eastAsia" w:ascii="Arial" w:hAnsi="Arial" w:cs="Arial"/>
          <w:bCs/>
          <w:lang w:val="en-US" w:eastAsia="zh-CN"/>
        </w:rPr>
        <w:t>25</w:t>
      </w:r>
      <w:r>
        <w:rPr>
          <w:rFonts w:ascii="Arial" w:hAnsi="Arial" w:eastAsia="Yu Mincho" w:cs="Arial"/>
          <w:bCs/>
        </w:rPr>
        <w:t>-2</w:t>
      </w:r>
      <w:r>
        <w:rPr>
          <w:rFonts w:hint="eastAsia" w:ascii="Arial" w:hAnsi="Arial" w:cs="Arial"/>
          <w:bCs/>
          <w:lang w:val="en-US" w:eastAsia="zh-CN"/>
        </w:rPr>
        <w:t>8</w:t>
      </w:r>
      <w:r>
        <w:rPr>
          <w:rFonts w:ascii="Arial" w:hAnsi="Arial" w:eastAsia="Yu Mincho" w:cs="Arial"/>
          <w:bCs/>
        </w:rPr>
        <w:t xml:space="preserve"> </w:t>
      </w:r>
      <w:r>
        <w:rPr>
          <w:rFonts w:hint="eastAsia" w:ascii="Arial" w:hAnsi="Arial" w:cs="Arial"/>
          <w:bCs/>
          <w:lang w:val="en-US" w:eastAsia="zh-CN"/>
        </w:rPr>
        <w:t xml:space="preserve">Aug </w:t>
      </w:r>
      <w:r>
        <w:rPr>
          <w:rFonts w:ascii="Arial" w:hAnsi="Arial" w:eastAsia="Yu Mincho" w:cs="Arial"/>
          <w:bCs/>
        </w:rPr>
        <w:t>202</w:t>
      </w:r>
      <w:r>
        <w:rPr>
          <w:rFonts w:hint="eastAsia" w:ascii="Arial" w:hAnsi="Arial" w:cs="Arial"/>
          <w:bCs/>
          <w:lang w:val="en-US" w:eastAsia="zh-CN"/>
        </w:rPr>
        <w:t>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Bangalore, IN</w:t>
      </w:r>
    </w:p>
    <w:p w14:paraId="53742346">
      <w:pPr>
        <w:rPr>
          <w:rFonts w:hint="eastAsia" w:ascii="Arial" w:hAnsi="Arial" w:eastAsia="Yu Mincho" w:cs="Arial"/>
          <w:bCs/>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hint="eastAsia" w:ascii="Arial" w:hAnsi="Arial" w:cs="Arial"/>
          <w:bCs/>
          <w:lang w:val="en-US" w:eastAsia="zh-CN"/>
        </w:rPr>
        <w:t xml:space="preserve">   </w:t>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Prague, CZ</w:t>
      </w:r>
    </w:p>
    <w:p w14:paraId="7F7065E0">
      <w:pPr>
        <w:pStyle w:val="2"/>
        <w:rPr>
          <w:rFonts w:hint="default" w:eastAsia="宋体"/>
          <w:lang w:val="en-US" w:eastAsia="zh-CN"/>
        </w:rPr>
      </w:pPr>
      <w:r>
        <w:rPr>
          <w:rFonts w:hint="eastAsia"/>
          <w:lang w:val="en-US" w:eastAsia="zh-CN"/>
        </w:rPr>
        <w:t>9</w:t>
      </w:r>
      <w:r>
        <w:tab/>
      </w:r>
      <w:r>
        <w:rPr>
          <w:rFonts w:hint="eastAsia"/>
          <w:lang w:val="en-US" w:eastAsia="zh-CN"/>
        </w:rPr>
        <w:t>Annex C (Reply to SA2 on service type )</w:t>
      </w:r>
    </w:p>
    <w:p w14:paraId="4D37644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LS Reply on LS on the removal of service type information</w:t>
      </w:r>
    </w:p>
    <w:p w14:paraId="40AD304B">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R3-253016/S2-2504294</w:t>
      </w:r>
    </w:p>
    <w:p w14:paraId="6AABC93A">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p w14:paraId="0F8C4BB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Ambient_IoT_solutions</w:t>
      </w:r>
    </w:p>
    <w:p w14:paraId="169090CF">
      <w:pPr>
        <w:spacing w:after="60"/>
        <w:ind w:left="1985" w:hanging="1985"/>
        <w:rPr>
          <w:rFonts w:ascii="Arial" w:hAnsi="Arial" w:cs="Arial"/>
          <w:b/>
          <w:sz w:val="22"/>
          <w:szCs w:val="22"/>
        </w:rPr>
      </w:pPr>
    </w:p>
    <w:p w14:paraId="64C9022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0A758403">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sz w:val="22"/>
          <w:szCs w:val="22"/>
          <w:lang w:val="en-US" w:eastAsia="zh-CN"/>
        </w:rPr>
        <w:t>SA2</w:t>
      </w:r>
    </w:p>
    <w:p w14:paraId="2F9A6183">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Cc:</w:t>
      </w:r>
      <w:r>
        <w:rPr>
          <w:rFonts w:ascii="Arial" w:hAnsi="Arial" w:cs="Arial"/>
          <w:b/>
          <w:bCs/>
          <w:sz w:val="22"/>
          <w:szCs w:val="22"/>
        </w:rPr>
        <w:tab/>
      </w:r>
      <w:r>
        <w:rPr>
          <w:rFonts w:hint="eastAsia" w:ascii="Arial" w:hAnsi="Arial" w:cs="Arial"/>
          <w:b w:val="0"/>
          <w:bCs w:val="0"/>
          <w:sz w:val="22"/>
          <w:szCs w:val="22"/>
          <w:lang w:val="en-US" w:eastAsia="zh-CN"/>
        </w:rPr>
        <w:t>RAN2</w:t>
      </w:r>
    </w:p>
    <w:p w14:paraId="4A6A0E58">
      <w:pPr>
        <w:spacing w:after="60"/>
        <w:ind w:left="1985" w:hanging="1985"/>
        <w:rPr>
          <w:rFonts w:ascii="Arial" w:hAnsi="Arial" w:cs="Arial"/>
          <w:bCs/>
        </w:rPr>
      </w:pPr>
    </w:p>
    <w:p w14:paraId="056A4620">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6CD8DE2C">
      <w:pPr>
        <w:spacing w:after="60"/>
        <w:ind w:left="1265" w:firstLine="720"/>
        <w:rPr>
          <w:rFonts w:ascii="Arial" w:hAnsi="Arial" w:cs="Arial"/>
          <w:sz w:val="22"/>
          <w:szCs w:val="22"/>
        </w:rPr>
      </w:pPr>
      <w:r>
        <w:rPr>
          <w:rFonts w:ascii="Arial" w:hAnsi="Arial" w:cs="Arial"/>
          <w:sz w:val="22"/>
          <w:szCs w:val="22"/>
        </w:rPr>
        <w:t xml:space="preserve">lilisi@xiaomi.com </w:t>
      </w:r>
    </w:p>
    <w:p w14:paraId="78F3F89E">
      <w:pPr>
        <w:spacing w:after="60"/>
        <w:rPr>
          <w:rFonts w:ascii="Arial" w:hAnsi="Arial" w:cs="Arial"/>
          <w:sz w:val="22"/>
          <w:szCs w:val="22"/>
        </w:rPr>
      </w:pPr>
    </w:p>
    <w:p w14:paraId="01AA10D7">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6A080E4D">
      <w:pPr>
        <w:spacing w:after="60"/>
        <w:ind w:left="1985" w:hanging="1985"/>
        <w:rPr>
          <w:rFonts w:ascii="Arial" w:hAnsi="Arial" w:cs="Arial"/>
          <w:b/>
        </w:rPr>
      </w:pPr>
    </w:p>
    <w:p w14:paraId="55A8A784">
      <w:pPr>
        <w:spacing w:after="60"/>
        <w:ind w:left="1985" w:hanging="1985"/>
        <w:rPr>
          <w:rFonts w:ascii="Arial" w:hAnsi="Arial" w:cs="Arial"/>
          <w:bCs/>
        </w:rPr>
      </w:pPr>
      <w:r>
        <w:rPr>
          <w:rFonts w:ascii="Arial" w:hAnsi="Arial" w:cs="Arial"/>
          <w:b/>
        </w:rPr>
        <w:t>Attachments:</w:t>
      </w:r>
      <w:r>
        <w:rPr>
          <w:rFonts w:ascii="Arial" w:hAnsi="Arial" w:cs="Arial"/>
          <w:bCs/>
        </w:rPr>
        <w:tab/>
      </w:r>
    </w:p>
    <w:p w14:paraId="4FDA49D2">
      <w:pPr>
        <w:rPr>
          <w:rFonts w:ascii="Arial" w:hAnsi="Arial" w:cs="Arial"/>
        </w:rPr>
      </w:pPr>
    </w:p>
    <w:p w14:paraId="3119C59C">
      <w:pPr>
        <w:pStyle w:val="2"/>
      </w:pPr>
      <w:r>
        <w:t>1</w:t>
      </w:r>
      <w:r>
        <w:tab/>
      </w:r>
      <w:r>
        <w:t>Overall description</w:t>
      </w:r>
    </w:p>
    <w:p w14:paraId="43CD3AA1">
      <w:pPr>
        <w:rPr>
          <w:rFonts w:hint="eastAsia" w:ascii="Arial" w:hAnsi="Arial" w:cs="Arial"/>
          <w:lang w:val="en-US" w:eastAsia="zh-CN"/>
        </w:rPr>
      </w:pPr>
      <w:r>
        <w:rPr>
          <w:rFonts w:ascii="Arial" w:hAnsi="Arial" w:cs="Arial"/>
        </w:rPr>
        <w:t xml:space="preserve">RAN3 thanks </w:t>
      </w:r>
      <w:r>
        <w:rPr>
          <w:rFonts w:hint="eastAsia" w:ascii="Arial" w:hAnsi="Arial" w:cs="Arial"/>
          <w:lang w:val="en-US" w:eastAsia="zh-CN"/>
        </w:rPr>
        <w:t xml:space="preserve">SA2 </w:t>
      </w:r>
      <w:r>
        <w:rPr>
          <w:rFonts w:hint="eastAsia" w:ascii="Arial" w:hAnsi="Arial" w:cs="Arial"/>
        </w:rPr>
        <w:t>LS on the removal of service type information</w:t>
      </w:r>
      <w:r>
        <w:rPr>
          <w:rFonts w:hint="eastAsia" w:ascii="Arial" w:hAnsi="Arial" w:cs="Arial"/>
          <w:lang w:val="en-US" w:eastAsia="zh-CN"/>
        </w:rPr>
        <w:t>.</w:t>
      </w:r>
    </w:p>
    <w:p w14:paraId="4A1B5A0F">
      <w:pPr>
        <w:rPr>
          <w:rFonts w:hint="eastAsia" w:ascii="Arial" w:hAnsi="Arial" w:cs="Arial"/>
          <w:lang w:val="en-US" w:eastAsia="zh-CN"/>
        </w:rPr>
      </w:pPr>
      <w:r>
        <w:rPr>
          <w:rFonts w:hint="eastAsia" w:ascii="Arial" w:hAnsi="Arial" w:cs="Arial"/>
          <w:lang w:val="en-US" w:eastAsia="zh-CN"/>
        </w:rPr>
        <w:t>Based on RAN3's understanding, there are no concerns regarding the removal of the "service type" since RAN3 agrees to introduce a "follow-on command" indicator in the inventory request, which can be used to indicate the service type.</w:t>
      </w:r>
    </w:p>
    <w:p w14:paraId="5113F1D5">
      <w:pPr>
        <w:pStyle w:val="2"/>
      </w:pPr>
      <w:r>
        <w:t>2</w:t>
      </w:r>
      <w:r>
        <w:tab/>
      </w:r>
      <w:r>
        <w:t>Actions</w:t>
      </w:r>
    </w:p>
    <w:p w14:paraId="3A05E4CA">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cs="Arial"/>
          <w:b/>
          <w:lang w:val="en-US" w:eastAsia="zh-CN"/>
        </w:rPr>
        <w:t>SA2</w:t>
      </w:r>
    </w:p>
    <w:p w14:paraId="770A7232">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 xml:space="preserve">RAN3 respectfully requests </w:t>
      </w:r>
      <w:r>
        <w:rPr>
          <w:rFonts w:hint="eastAsia" w:ascii="Arial" w:hAnsi="Arial" w:cs="Arial"/>
          <w:lang w:val="en-US" w:eastAsia="zh-CN"/>
        </w:rPr>
        <w:t xml:space="preserve">SA2 </w:t>
      </w:r>
      <w:r>
        <w:rPr>
          <w:rFonts w:ascii="Arial" w:hAnsi="Arial" w:cs="Arial"/>
        </w:rPr>
        <w:t>to take above replies into account in future discussion.</w:t>
      </w:r>
    </w:p>
    <w:p w14:paraId="66F1AE98">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6652D2FE">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w:t>
      </w:r>
      <w:r>
        <w:rPr>
          <w:rFonts w:ascii="Arial" w:hAnsi="Arial" w:eastAsia="Yu Mincho" w:cs="Arial"/>
          <w:bCs/>
        </w:rPr>
        <w:tab/>
      </w:r>
      <w:r>
        <w:rPr>
          <w:rFonts w:hint="eastAsia" w:ascii="Arial" w:hAnsi="Arial" w:cs="Arial"/>
          <w:bCs/>
          <w:lang w:val="en-US" w:eastAsia="zh-CN"/>
        </w:rPr>
        <w:t>25</w:t>
      </w:r>
      <w:r>
        <w:rPr>
          <w:rFonts w:ascii="Arial" w:hAnsi="Arial" w:eastAsia="Yu Mincho" w:cs="Arial"/>
          <w:bCs/>
        </w:rPr>
        <w:t>-2</w:t>
      </w:r>
      <w:r>
        <w:rPr>
          <w:rFonts w:hint="eastAsia" w:ascii="Arial" w:hAnsi="Arial" w:cs="Arial"/>
          <w:bCs/>
          <w:lang w:val="en-US" w:eastAsia="zh-CN"/>
        </w:rPr>
        <w:t>8</w:t>
      </w:r>
      <w:r>
        <w:rPr>
          <w:rFonts w:ascii="Arial" w:hAnsi="Arial" w:eastAsia="Yu Mincho" w:cs="Arial"/>
          <w:bCs/>
        </w:rPr>
        <w:t xml:space="preserve"> </w:t>
      </w:r>
      <w:r>
        <w:rPr>
          <w:rFonts w:hint="eastAsia" w:ascii="Arial" w:hAnsi="Arial" w:cs="Arial"/>
          <w:bCs/>
          <w:lang w:val="en-US" w:eastAsia="zh-CN"/>
        </w:rPr>
        <w:t xml:space="preserve">Aug </w:t>
      </w:r>
      <w:r>
        <w:rPr>
          <w:rFonts w:ascii="Arial" w:hAnsi="Arial" w:eastAsia="Yu Mincho" w:cs="Arial"/>
          <w:bCs/>
        </w:rPr>
        <w:t>202</w:t>
      </w:r>
      <w:r>
        <w:rPr>
          <w:rFonts w:hint="eastAsia" w:ascii="Arial" w:hAnsi="Arial" w:cs="Arial"/>
          <w:bCs/>
          <w:lang w:val="en-US" w:eastAsia="zh-CN"/>
        </w:rPr>
        <w:t>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Bangalore, IN</w:t>
      </w:r>
    </w:p>
    <w:p w14:paraId="491ED50B">
      <w:pPr>
        <w:rPr>
          <w:rFonts w:hint="eastAsia" w:eastAsia="宋体"/>
          <w:lang w:val="en-US" w:eastAsia="zh-CN"/>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hint="eastAsia" w:ascii="Arial" w:hAnsi="Arial" w:cs="Arial"/>
          <w:bCs/>
          <w:lang w:val="en-US" w:eastAsia="zh-CN"/>
        </w:rPr>
        <w:t xml:space="preserve">   </w:t>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Prague, CZ</w:t>
      </w:r>
    </w:p>
    <w:p w14:paraId="6E50D344">
      <w:pPr>
        <w:rPr>
          <w:rFonts w:hint="eastAsia" w:ascii="Arial" w:hAnsi="Arial" w:eastAsia="Yu Mincho" w:cs="Arial"/>
          <w:bCs/>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5E3981"/>
    <w:multiLevelType w:val="multilevel"/>
    <w:tmpl w:val="0F5E398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8541FA"/>
    <w:multiLevelType w:val="multilevel"/>
    <w:tmpl w:val="588541FA"/>
    <w:lvl w:ilvl="0" w:tentative="0">
      <w:start w:val="1"/>
      <w:numFmt w:val="bullet"/>
      <w:lvlText w:val="-"/>
      <w:lvlJc w:val="left"/>
      <w:pPr>
        <w:ind w:left="420" w:hanging="420"/>
      </w:pPr>
      <w:rPr>
        <w:rFonts w:hint="default" w:ascii="Arial" w:hAnsi="Arial" w:cs="Arial" w:eastAsiaTheme="minorEastAsia"/>
        <w:i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9D61F87"/>
    <w:multiLevelType w:val="multilevel"/>
    <w:tmpl w:val="59D61F87"/>
    <w:lvl w:ilvl="0" w:tentative="0">
      <w:start w:val="4"/>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66E814EE"/>
    <w:multiLevelType w:val="multilevel"/>
    <w:tmpl w:val="66E814EE"/>
    <w:lvl w:ilvl="0" w:tentative="0">
      <w:start w:val="10"/>
      <w:numFmt w:val="bullet"/>
      <w:lvlText w:val="-"/>
      <w:lvlJc w:val="left"/>
      <w:pPr>
        <w:ind w:left="600" w:hanging="360"/>
      </w:pPr>
      <w:rPr>
        <w:rFonts w:hint="default" w:ascii="Calibri" w:hAnsi="Calibri" w:eastAsia="宋体" w:cs="Calibri"/>
      </w:rPr>
    </w:lvl>
    <w:lvl w:ilvl="1" w:tentative="0">
      <w:start w:val="1"/>
      <w:numFmt w:val="bullet"/>
      <w:lvlText w:val=""/>
      <w:lvlJc w:val="left"/>
      <w:pPr>
        <w:ind w:left="42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2"/>
  </w:num>
  <w:num w:numId="3">
    <w:abstractNumId w:val="1"/>
  </w:num>
  <w:num w:numId="4">
    <w:abstractNumId w:val="4"/>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9B5E30"/>
    <w:rsid w:val="0538129B"/>
    <w:rsid w:val="078801B7"/>
    <w:rsid w:val="0CD97AE0"/>
    <w:rsid w:val="0EF8359E"/>
    <w:rsid w:val="0F1E7A18"/>
    <w:rsid w:val="10C96F1B"/>
    <w:rsid w:val="144A26DA"/>
    <w:rsid w:val="18746E67"/>
    <w:rsid w:val="19502541"/>
    <w:rsid w:val="1D8219A5"/>
    <w:rsid w:val="1FFB2A50"/>
    <w:rsid w:val="1FFB648C"/>
    <w:rsid w:val="201F3E95"/>
    <w:rsid w:val="22703D10"/>
    <w:rsid w:val="25BE461F"/>
    <w:rsid w:val="2B362C10"/>
    <w:rsid w:val="2F0C0083"/>
    <w:rsid w:val="346D03AF"/>
    <w:rsid w:val="3C0B2CC6"/>
    <w:rsid w:val="3CF03B2D"/>
    <w:rsid w:val="3D98059B"/>
    <w:rsid w:val="3FD07E0A"/>
    <w:rsid w:val="41C66344"/>
    <w:rsid w:val="41C83494"/>
    <w:rsid w:val="42D2074B"/>
    <w:rsid w:val="45CE5353"/>
    <w:rsid w:val="48396E48"/>
    <w:rsid w:val="53B042EA"/>
    <w:rsid w:val="56AB52C9"/>
    <w:rsid w:val="5847723B"/>
    <w:rsid w:val="65285C65"/>
    <w:rsid w:val="67634D4B"/>
    <w:rsid w:val="7D1F0063"/>
    <w:rsid w:val="7E9A44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table" w:customStyle="1" w:styleId="166">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2154</Words>
  <Characters>11358</Characters>
  <Lines>126</Lines>
  <Paragraphs>35</Paragraphs>
  <TotalTime>2</TotalTime>
  <ScaleCrop>false</ScaleCrop>
  <LinksUpToDate>false</LinksUpToDate>
  <CharactersWithSpaces>13396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2025-02-06T09:26:00Z</dcterms:created>
  <dc:creator>Xiaomi-Lisi</dc:creator>
  <cp:lastModifiedBy>Lisi</cp:lastModifiedBy>
  <dcterms:modified xsi:type="dcterms:W3CDTF">2025-05-09T05:58:24Z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11781C1B65D74BA7B4F3118B11A0B350_13</vt:lpwstr>
  </property>
</Properties>
</file>